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0"/>
        <w:outlineLvl w:val="0"/>
        <w:jc w:val="both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0"/>
                <w:color w:val="392c69"/>
              </w:rPr>
              <w:t xml:space="preserve">Издательство </w:t>
            </w:r>
            <w:hyperlink w:history="0" r:id="rId7" w:tooltip="Анонс журнала &quot;Главная книга&quot; N 13, 23 июня 2023 г. {КонсультантПлюс}">
              <w:r>
                <w:rPr>
                  <w:sz w:val="20"/>
                  <w:color w:val="0000ff"/>
                </w:rPr>
                <w:t xml:space="preserve">"Главная книга"</w:t>
              </w:r>
            </w:hyperlink>
            <w:r>
              <w:rPr>
                <w:sz w:val="20"/>
                <w:color w:val="392c69"/>
              </w:rPr>
              <w:t xml:space="preserve"> | </w:t>
            </w:r>
            <w:r>
              <w:rPr>
                <w:sz w:val="20"/>
                <w:color w:val="392c69"/>
                <w:b w:val="on"/>
              </w:rPr>
              <w:t xml:space="preserve">Актуально на 28.06.2023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spacing w:before="460" w:line-rule="auto"/>
      </w:pPr>
      <w:r>
        <w:rPr>
          <w:sz w:val="36"/>
          <w:b w:val="on"/>
        </w:rPr>
        <w:t xml:space="preserve">Обязательный аудит: кто проходит и как сдать заключение</w:t>
      </w:r>
    </w:p>
    <w:p>
      <w:pPr>
        <w:pStyle w:val="0"/>
        <w:spacing w:before="200" w:line-rule="auto"/>
        <w:jc w:val="both"/>
      </w:pPr>
      <w:r>
        <w:rPr>
          <w:sz w:val="20"/>
          <w:highlight w:val="yellow"/>
        </w:rPr>
        <w:t xml:space="preserve">Обычные ООО обязаны провести аудит отчетности за 2022 г. в двух случаях: либо налоговые доходы за 2021 г. больше </w:t>
      </w:r>
      <w:hyperlink w:history="0" r:id="rId8" w:tooltip="Федеральный закон от 30.12.2008 N 307-ФЗ (ред. от 16.04.2022) &quot;Об аудиторской деятельности&quot; {КонсультантПлюс}">
        <w:r>
          <w:rPr>
            <w:sz w:val="20"/>
            <w:color w:val="0000ff"/>
            <w:highlight w:val="yellow"/>
          </w:rPr>
          <w:t xml:space="preserve">800 млн руб.</w:t>
        </w:r>
      </w:hyperlink>
      <w:r>
        <w:rPr>
          <w:sz w:val="20"/>
          <w:highlight w:val="yellow"/>
        </w:rPr>
        <w:t xml:space="preserve"> (сумма </w:t>
      </w:r>
      <w:hyperlink w:history="0" r:id="rId9" w:tooltip="Приказ ФНС России от 23.09.2019 N ММВ-7-3/475@ (ред. от 17.08.2022) &quot;Об утверждении формы налоговой декларации по налогу на прибыль организаций, порядка ее заполнения, а также формата представления налоговой декларации по налогу на прибыль организаций в электронной форме&quot; (Зарегистрировано в Минюсте России 14.10.2019 N 56217) {КонсультантПлюс}">
        <w:r>
          <w:rPr>
            <w:sz w:val="20"/>
            <w:color w:val="0000ff"/>
            <w:highlight w:val="yellow"/>
          </w:rPr>
          <w:t xml:space="preserve">строк 010</w:t>
        </w:r>
      </w:hyperlink>
      <w:r>
        <w:rPr>
          <w:sz w:val="20"/>
          <w:highlight w:val="yellow"/>
        </w:rPr>
        <w:t xml:space="preserve"> и </w:t>
      </w:r>
      <w:hyperlink w:history="0" r:id="rId10" w:tooltip="Приказ ФНС России от 23.09.2019 N ММВ-7-3/475@ (ред. от 17.08.2022) &quot;Об утверждении формы налоговой декларации по налогу на прибыль организаций, порядка ее заполнения, а также формата представления налоговой декларации по налогу на прибыль организаций в электронной форме&quot; (Зарегистрировано в Минюсте России 14.10.2019 N 56217) {КонсультантПлюс}">
        <w:r>
          <w:rPr>
            <w:sz w:val="20"/>
            <w:color w:val="0000ff"/>
            <w:highlight w:val="yellow"/>
          </w:rPr>
          <w:t xml:space="preserve">020</w:t>
        </w:r>
      </w:hyperlink>
      <w:r>
        <w:rPr>
          <w:sz w:val="20"/>
          <w:highlight w:val="yellow"/>
        </w:rPr>
        <w:t xml:space="preserve"> Листа 02 декларации по налогу на прибыль), либо сумма активов на 31 декабря 2021 г. больше </w:t>
      </w:r>
      <w:hyperlink w:history="0" r:id="rId11" w:tooltip="Федеральный закон от 30.12.2008 N 307-ФЗ (ред. от 16.04.2022) &quot;Об аудиторской деятельности&quot; {КонсультантПлюс}">
        <w:r>
          <w:rPr>
            <w:sz w:val="20"/>
            <w:color w:val="0000ff"/>
            <w:highlight w:val="yellow"/>
          </w:rPr>
          <w:t xml:space="preserve">400 млн руб.</w:t>
        </w:r>
      </w:hyperlink>
      <w:r>
        <w:rPr>
          <w:sz w:val="20"/>
          <w:highlight w:val="yellow"/>
        </w:rPr>
        <w:t xml:space="preserve"> (</w:t>
      </w:r>
      <w:hyperlink w:history="0" r:id="rId12" w:tooltip="Приказ Минфина России от 02.07.2010 N 66н (ред. от 19.04.2019) &quot;О формах бухгалтерской отчетности организаций&quot; (Зарегистрировано в Минюсте России 02.08.2010 N 18023) (с изм. и доп., вступ. в силу с отчетности за 2020 год) {КонсультантПлюс}">
        <w:r>
          <w:rPr>
            <w:sz w:val="20"/>
            <w:color w:val="0000ff"/>
            <w:highlight w:val="yellow"/>
          </w:rPr>
          <w:t xml:space="preserve">строка 1600</w:t>
        </w:r>
      </w:hyperlink>
      <w:r>
        <w:rPr>
          <w:sz w:val="20"/>
          <w:highlight w:val="yellow"/>
        </w:rPr>
        <w:t xml:space="preserve"> баланса).</w:t>
      </w:r>
    </w:p>
    <w:p>
      <w:pPr>
        <w:pStyle w:val="0"/>
        <w:spacing w:before="200" w:line-rule="auto"/>
        <w:jc w:val="both"/>
      </w:pPr>
      <w:r>
        <w:rPr>
          <w:sz w:val="20"/>
          <w:highlight w:val="yellow"/>
        </w:rPr>
        <w:t xml:space="preserve">Публичные АО проходят обязательный аудит ежегодно независимо от величины выручки и активов, непубличные - в случаях, предусмотренных законом. Для застройщиков и некоторых других организаций обязательный аудит предусмотрен специальным законом (</w:t>
      </w:r>
      <w:hyperlink w:history="0" r:id="rId13" w:tooltip="&quot;Гражданский кодекс Российской Федерации (часть первая)&quot; от 30.11.1994 N 51-ФЗ (ред. от 14.04.2023, с изм. от 16.05.2023) (с изм. и доп., вступ. в силу с 28.04.2023) {КонсультантПлюс}">
        <w:r>
          <w:rPr>
            <w:sz w:val="20"/>
            <w:color w:val="0000ff"/>
            <w:highlight w:val="yellow"/>
          </w:rPr>
          <w:t xml:space="preserve">ст. 67.1</w:t>
        </w:r>
      </w:hyperlink>
      <w:r>
        <w:rPr>
          <w:sz w:val="20"/>
          <w:highlight w:val="yellow"/>
        </w:rPr>
        <w:t xml:space="preserve"> ГК РФ, </w:t>
      </w:r>
      <w:hyperlink w:history="0" r:id="rId14" w:tooltip="Федеральный закон от 30.12.2004 N 214-ФЗ (ред. от 28.12.2022) &quot;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&quot; {КонсультантПлюс}">
        <w:r>
          <w:rPr>
            <w:sz w:val="20"/>
            <w:color w:val="0000ff"/>
            <w:highlight w:val="yellow"/>
          </w:rPr>
          <w:t xml:space="preserve">ст. 3</w:t>
        </w:r>
      </w:hyperlink>
      <w:r>
        <w:rPr>
          <w:sz w:val="20"/>
          <w:highlight w:val="yellow"/>
        </w:rPr>
        <w:t xml:space="preserve"> Закона N 214-ФЗ).</w:t>
      </w:r>
    </w:p>
    <w:p>
      <w:pPr>
        <w:pStyle w:val="0"/>
        <w:spacing w:before="200" w:line-rule="auto"/>
        <w:jc w:val="both"/>
      </w:pPr>
      <w:hyperlink w:history="0" r:id="rId15" w:tooltip="Справочная информация: &quot;Обязательный аудит&quot; (Материал подготовлен специалистами КонсультантПлюс) {КонсультантПлюс}">
        <w:r>
          <w:rPr>
            <w:sz w:val="20"/>
            <w:color w:val="0000ff"/>
            <w:highlight w:val="yellow"/>
          </w:rPr>
          <w:t xml:space="preserve">Полный перечень</w:t>
        </w:r>
      </w:hyperlink>
      <w:r>
        <w:rPr>
          <w:sz w:val="20"/>
          <w:highlight w:val="yellow"/>
        </w:rPr>
        <w:t xml:space="preserve"> случаев обязательного аудита.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Обязательный аудит проводит аудиторская организация, включенная в </w:t>
      </w:r>
      <w:r>
        <w:rPr>
          <w:sz w:val="20"/>
        </w:rPr>
        <w:t xml:space="preserve">реестр</w:t>
      </w:r>
      <w:r>
        <w:rPr>
          <w:sz w:val="20"/>
        </w:rPr>
        <w:t xml:space="preserve">. Аудиторское заключение должно быть готово до 31 декабря года, следующего за отчетным (</w:t>
      </w:r>
      <w:hyperlink w:history="0" r:id="rId16" w:tooltip="Федеральный закон от 30.12.2008 N 307-ФЗ (ред. от 16.04.2022) &quot;Об аудиторской деятельности&quot; {КонсультантПлюс}">
        <w:r>
          <w:rPr>
            <w:sz w:val="20"/>
            <w:color w:val="0000ff"/>
          </w:rPr>
          <w:t xml:space="preserve">ст. ст. 5</w:t>
        </w:r>
      </w:hyperlink>
      <w:r>
        <w:rPr>
          <w:sz w:val="20"/>
        </w:rPr>
        <w:t xml:space="preserve">, </w:t>
      </w:r>
      <w:hyperlink w:history="0" r:id="rId17" w:tooltip="Федеральный закон от 30.12.2008 N 307-ФЗ (ред. от 16.04.2022) &quot;Об аудиторской деятельности&quot; {КонсультантПлюс}">
        <w:r>
          <w:rPr>
            <w:sz w:val="20"/>
            <w:color w:val="0000ff"/>
          </w:rPr>
          <w:t xml:space="preserve">19</w:t>
        </w:r>
      </w:hyperlink>
      <w:r>
        <w:rPr>
          <w:sz w:val="20"/>
        </w:rPr>
        <w:t xml:space="preserve"> Закона об аудите).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Аудиторское заключение сдайте в налоговую в электронном виде </w:t>
      </w:r>
      <w:hyperlink w:history="0" r:id="rId18" w:tooltip="Типовая ситуация: Бухгалтерская отчетность - 2022: состав, формы, сроки (Издательство &quot;Главная книга&quot;, 2023) {КонсультантПлюс}">
        <w:r>
          <w:rPr>
            <w:sz w:val="20"/>
            <w:color w:val="0000ff"/>
          </w:rPr>
          <w:t xml:space="preserve">вместе</w:t>
        </w:r>
      </w:hyperlink>
      <w:r>
        <w:rPr>
          <w:sz w:val="20"/>
        </w:rPr>
        <w:t xml:space="preserve"> с годовой бухгалтерской отчетностью. Заключение, которое к этому моменту еще не готово, сдайте не позднее 10 рабочих дней со дня его подписания, но не позднее 31 декабря (</w:t>
      </w:r>
      <w:hyperlink w:history="0" r:id="rId19" w:tooltip="Федеральный закон от 06.12.2011 N 402-ФЗ (ред. от 05.12.2022) &quot;О бухгалтерском учете&quot; (с изм. и доп., вступ. в силу с 01.01.2023) {КонсультантПлюс}">
        <w:r>
          <w:rPr>
            <w:sz w:val="20"/>
            <w:color w:val="0000ff"/>
          </w:rPr>
          <w:t xml:space="preserve">ст. 18</w:t>
        </w:r>
      </w:hyperlink>
      <w:r>
        <w:rPr>
          <w:sz w:val="20"/>
        </w:rPr>
        <w:t xml:space="preserve"> Закона о бухучете).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Сведения об аудиторском заключении не позднее трех рабочих дней после подписания надо разместить на </w:t>
      </w:r>
      <w:r>
        <w:rPr>
          <w:sz w:val="20"/>
        </w:rPr>
        <w:t xml:space="preserve">федресурсе</w:t>
      </w:r>
      <w:r>
        <w:rPr>
          <w:sz w:val="20"/>
        </w:rPr>
        <w:t xml:space="preserve">. Скачайте с сайта необходимое ПО и заполните в личном кабинете специальную форму, используя </w:t>
      </w:r>
      <w:hyperlink w:history="0" r:id="rId20" w:tooltip="Типовая ситуация: Как организовать ЭДО с контрагентами (Издательство &quot;Главная книга&quot;, 2023) {КонсультантПлюс}">
        <w:r>
          <w:rPr>
            <w:sz w:val="20"/>
            <w:color w:val="0000ff"/>
          </w:rPr>
          <w:t xml:space="preserve">электронную подпись</w:t>
        </w:r>
      </w:hyperlink>
      <w:r>
        <w:rPr>
          <w:sz w:val="20"/>
        </w:rPr>
        <w:t xml:space="preserve">. Другой вариант - обратиться к нотариусу, он сам подпишет сообщение и разместит на федресурсе. Размещение сведений платное (</w:t>
      </w:r>
      <w:hyperlink w:history="0" r:id="rId21" w:tooltip="Федеральный закон от 08.08.2001 N 129-ФЗ (ред. от 14.04.2023) &quot;О государственной регистрации юридических лиц и индивидуальных предпринимателей&quot; {КонсультантПлюс}">
        <w:r>
          <w:rPr>
            <w:sz w:val="20"/>
            <w:color w:val="0000ff"/>
          </w:rPr>
          <w:t xml:space="preserve">п. п. 7</w:t>
        </w:r>
      </w:hyperlink>
      <w:r>
        <w:rPr>
          <w:sz w:val="20"/>
        </w:rPr>
        <w:t xml:space="preserve">, </w:t>
      </w:r>
      <w:hyperlink w:history="0" r:id="rId22" w:tooltip="Федеральный закон от 08.08.2001 N 129-ФЗ (ред. от 14.04.2023) &quot;О государственной регистрации юридических лиц и индивидуальных предпринимателей&quot; {КонсультантПлюс}">
        <w:r>
          <w:rPr>
            <w:sz w:val="20"/>
            <w:color w:val="0000ff"/>
          </w:rPr>
          <w:t xml:space="preserve">9 ст. 7.1</w:t>
        </w:r>
      </w:hyperlink>
      <w:r>
        <w:rPr>
          <w:sz w:val="20"/>
        </w:rPr>
        <w:t xml:space="preserve"> Закона N 129-ФЗ).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В статистику аудиторское заключение сдавать не надо.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Отдельного штрафа за непроведение обязательного аудита нет, но за непредставление в срок аудиторского заключения в ИФНС организацию могут оштрафовать на сумму до 5 000 руб. Штраф для </w:t>
      </w:r>
      <w:hyperlink w:history="0" r:id="rId23" w:tooltip="Словарь для бухгалтера (Издательство &quot;Главная книга&quot;, 2023) {КонсультантПлюс}">
        <w:r>
          <w:rPr>
            <w:sz w:val="20"/>
            <w:color w:val="0000ff"/>
          </w:rPr>
          <w:t xml:space="preserve">должностного лица</w:t>
        </w:r>
      </w:hyperlink>
      <w:r>
        <w:rPr>
          <w:sz w:val="20"/>
        </w:rPr>
        <w:t xml:space="preserve"> - до 500 руб., а если нет аудиторских заключений за прошлые годы - до 10 000 руб. (</w:t>
      </w:r>
      <w:hyperlink w:history="0" r:id="rId24" w:tooltip="&quot;Кодекс Российской Федерации об административных правонарушениях&quot; от 30.12.2001 N 195-ФЗ (ред. от 24.06.2023) {КонсультантПлюс}">
        <w:r>
          <w:rPr>
            <w:sz w:val="20"/>
            <w:color w:val="0000ff"/>
          </w:rPr>
          <w:t xml:space="preserve">ст. ст. 4.1.2</w:t>
        </w:r>
      </w:hyperlink>
      <w:r>
        <w:rPr>
          <w:sz w:val="20"/>
        </w:rPr>
        <w:t xml:space="preserve">, </w:t>
      </w:r>
      <w:hyperlink w:history="0" r:id="rId25" w:tooltip="&quot;Кодекс Российской Федерации об административных правонарушениях&quot; от 30.12.2001 N 195-ФЗ (ред. от 24.06.2023) {КонсультантПлюс}">
        <w:r>
          <w:rPr>
            <w:sz w:val="20"/>
            <w:color w:val="0000ff"/>
          </w:rPr>
          <w:t xml:space="preserve">15.11</w:t>
        </w:r>
      </w:hyperlink>
      <w:r>
        <w:rPr>
          <w:sz w:val="20"/>
        </w:rPr>
        <w:t xml:space="preserve">, </w:t>
      </w:r>
      <w:hyperlink w:history="0" r:id="rId26" w:tooltip="&quot;Кодекс Российской Федерации об административных правонарушениях&quot; от 30.12.2001 N 195-ФЗ (ред. от 24.06.2023) {КонсультантПлюс}">
        <w:r>
          <w:rPr>
            <w:sz w:val="20"/>
            <w:color w:val="0000ff"/>
          </w:rPr>
          <w:t xml:space="preserve">19.7</w:t>
        </w:r>
      </w:hyperlink>
      <w:r>
        <w:rPr>
          <w:sz w:val="20"/>
        </w:rPr>
        <w:t xml:space="preserve"> КоАП РФ).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За неразмещение сведений об аудиторском заключении на федресурсе предусмотрен штраф для должностного лица - от 5 000 до 10 000 руб., а за несвоевременное размещение - 5 000 руб. (</w:t>
      </w:r>
      <w:hyperlink w:history="0" r:id="rId27" w:tooltip="&quot;Кодекс Российской Федерации об административных правонарушениях&quot; от 30.12.2001 N 195-ФЗ (ред. от 24.06.2023) {КонсультантПлюс}">
        <w:r>
          <w:rPr>
            <w:sz w:val="20"/>
            <w:color w:val="0000ff"/>
          </w:rPr>
          <w:t xml:space="preserve">ст. 14.25</w:t>
        </w:r>
      </w:hyperlink>
      <w:r>
        <w:rPr>
          <w:sz w:val="20"/>
        </w:rPr>
        <w:t xml:space="preserve"> КоАП РФ).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80"/>
        <w:gridCol w:w="420"/>
        <w:gridCol w:w="9427"/>
        <w:gridCol w:w="180"/>
      </w:tblGrid>
      <w:tr>
        <w:tc>
          <w:tcPr>
            <w:tcW w:w="18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420" w:type="dxa"/>
            <w:tcMar>
              <w:top w:w="180" w:type="dxa"/>
              <w:left w:w="0" w:type="dxa"/>
              <w:bottom w:w="180" w:type="dxa"/>
              <w:right w:w="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r>
              <w:drawing>
                <wp:inline distT="0" distB="0" distL="0" distR="0">
                  <wp:extent cx="152400" cy="152400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180" w:type="dxa"/>
              <w:left w:w="0" w:type="dxa"/>
              <w:bottom w:w="180" w:type="dxa"/>
              <w:right w:w="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См. также:</w:t>
            </w:r>
          </w:p>
          <w:p>
            <w:pPr>
              <w:pStyle w:val="0"/>
              <w:ind w:firstLine="-227" w:left="540"/>
              <w:jc w:val="both"/>
              <w:numPr>
                <w:ilvl w:val="0"/>
                <w:numId w:val="1"/>
              </w:numPr>
            </w:pPr>
            <w:hyperlink w:history="0" r:id="rId29" w:tooltip="Типовая ситуация: Бухгалтерская отчетность - 2022: состав, формы, сроки (Издательство &quot;Главная книга&quot;, 2023) {КонсультантПлюс}">
              <w:r>
                <w:rPr>
                  <w:sz w:val="20"/>
                  <w:color w:val="0000ff"/>
                </w:rPr>
                <w:t xml:space="preserve">Бухгалтерская отчетность: состав, формы, сроки</w:t>
              </w:r>
            </w:hyperlink>
          </w:p>
          <w:p>
            <w:pPr>
              <w:pStyle w:val="0"/>
              <w:ind w:firstLine="-227" w:left="540"/>
              <w:jc w:val="both"/>
              <w:numPr>
                <w:ilvl w:val="0"/>
                <w:numId w:val="1"/>
              </w:numPr>
            </w:pPr>
            <w:hyperlink w:history="0" r:id="rId30" w:tooltip="Типовая ситуация: Как утвердить годовую отчетность ООО (Издательство &quot;Главная книга&quot;, 2023) {КонсультантПлюс}">
              <w:r>
                <w:rPr>
                  <w:sz w:val="20"/>
                  <w:color w:val="0000ff"/>
                </w:rPr>
                <w:t xml:space="preserve">Как утвердить годовую отчетность ООО</w:t>
              </w:r>
            </w:hyperlink>
          </w:p>
          <w:p>
            <w:pPr>
              <w:pStyle w:val="0"/>
              <w:ind w:firstLine="-227" w:left="540"/>
              <w:jc w:val="both"/>
              <w:numPr>
                <w:ilvl w:val="0"/>
                <w:numId w:val="1"/>
              </w:numPr>
            </w:pPr>
            <w:hyperlink w:history="0" r:id="rId31" w:tooltip="Типовая ситуация: Бухучет: термины и определения (Издательство &quot;Главная книга&quot;, 2023) {КонсультантПлюс}">
              <w:r>
                <w:rPr>
                  <w:sz w:val="20"/>
                  <w:color w:val="0000ff"/>
                </w:rPr>
                <w:t xml:space="preserve">Что такое внутренний аудит</w:t>
              </w:r>
            </w:hyperlink>
          </w:p>
          <w:p>
            <w:pPr>
              <w:pStyle w:val="0"/>
              <w:ind w:firstLine="-227" w:left="540"/>
              <w:jc w:val="both"/>
              <w:numPr>
                <w:ilvl w:val="0"/>
                <w:numId w:val="1"/>
              </w:numPr>
            </w:pPr>
            <w:hyperlink w:history="0" r:id="rId32" w:tooltip="Типовая ситуация: Офисные расходы: бухгалтерский и налоговый учет (Издательство &quot;Главная книга&quot;, 2023) {КонсультантПлюс}">
              <w:r>
                <w:rPr>
                  <w:sz w:val="20"/>
                  <w:color w:val="0000ff"/>
                </w:rPr>
                <w:t xml:space="preserve">Как учесть нотариальные расходы</w:t>
              </w:r>
            </w:hyperlink>
          </w:p>
        </w:tc>
        <w:tc>
          <w:tcPr>
            <w:tcW w:w="18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3"/>
      <w:headerReference w:type="first" r:id="rId4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Типовая ситуация: Обязательный аудит: кто проходит и как сдать заключение</w:t>
            <w:br/>
            <w:t>(Издательство "Главная книга", 2023)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29.06.2023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header2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drawing>
              <wp:inline distT="0" distB="0" distL="0" distR="0">
                <wp:extent cx="1910715" cy="445770"/>
                <wp:effectExtent l="0" t="0" r="0" b="0"/>
                <wp:docPr id="1" name="Консультант Плюс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 preferRelativeResize="0"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10715" cy="445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Типовая ситуация: Обязательный аудит: кто проходит и как сдать заключение (Издательство "Главная книга", 2023)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29.06.2023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1" w15:restartNumberingAfterBreak="0">
    <w:multiLevelType w:val="multilevel"/>
    <w:lvl w:ilvl="0">
      <w:start w:val="1"/>
      <w:numFmt w:val="bullet"/>
      <w:lvlText w:val=""/>
      <w:lvlJc w:val="left"/>
      <w:pPr>
        <w:tabs>
          <w:tab w:val="num" w:pos="540"/>
        </w:tabs>
        <w:ind w:left="540" w:hanging="227"/>
      </w:pPr>
      <w:rPr>
        <w:rFonts w:ascii="Symbol" w:hAnsi="Symbol" w:hint="default"/>
      </w:rPr>
    </w:lvl>
  </w:abstractNum>
  <w:num w:numId="1">
    <w:abstractNumId w:val="1"/>
    <w:lvlOverride w:ilvl="0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numbering" Target="numbering.xml"/>
	<Relationship Id="rId3" Type="http://schemas.openxmlformats.org/officeDocument/2006/relationships/header" Target="header1.xml"/>
	<Relationship Id="rId4" Type="http://schemas.openxmlformats.org/officeDocument/2006/relationships/header" Target="header2.xml"/>
	<Relationship Id="rId5" Type="http://schemas.openxmlformats.org/officeDocument/2006/relationships/image" Target="media/image1.png"/>
	<Relationship Id="rId6" Type="http://schemas.openxmlformats.org/officeDocument/2006/relationships/footer" Target="footer1.xml"/>
	<Relationship Id="rId7" Type="http://schemas.openxmlformats.org/officeDocument/2006/relationships/hyperlink" Target="consultantplus://offline/ref=EA8FA83E8BDC4A2FD7B08D692E112FA47596287ECE070EA4AF89EEF4C058D49879A85FC6EF3A0755ADC1FA57u2p3L" TargetMode = "External"/>
	<Relationship Id="rId8" Type="http://schemas.openxmlformats.org/officeDocument/2006/relationships/hyperlink" Target="consultantplus://offline/ref=EA8FA83E8BDC4A2FD7B0916A30112FA479932C7BCF0953AEA7D0E2F6C7578B9D7EB95FC5E624025AB2C8AE04644E6A5D0E2868A5AD39696Bu8p4L" TargetMode = "External"/>
	<Relationship Id="rId9" Type="http://schemas.openxmlformats.org/officeDocument/2006/relationships/hyperlink" Target="consultantplus://offline/ref=EA8FA83E8BDC4A2FD7B0916A30112FA479902E7BCB0B53AEA7D0E2F6C7578B9D7EB95FC6E02F5302F796F75729056759193468A1uBp0L" TargetMode = "External"/>
	<Relationship Id="rId10" Type="http://schemas.openxmlformats.org/officeDocument/2006/relationships/hyperlink" Target="consultantplus://offline/ref=EA8FA83E8BDC4A2FD7B0916A30112FA479902E7BCB0B53AEA7D0E2F6C7578B9D7EB95FC6E12F5302F796F75729056759193468A1uBp0L" TargetMode = "External"/>
	<Relationship Id="rId11" Type="http://schemas.openxmlformats.org/officeDocument/2006/relationships/hyperlink" Target="consultantplus://offline/ref=EA8FA83E8BDC4A2FD7B0916A30112FA479932C7BCF0953AEA7D0E2F6C7578B9D7EB95FC5E624025AB1C8AE04644E6A5D0E2868A5AD39696Bu8p4L" TargetMode = "External"/>
	<Relationship Id="rId12" Type="http://schemas.openxmlformats.org/officeDocument/2006/relationships/hyperlink" Target="consultantplus://offline/ref=EA8FA83E8BDC4A2FD7B0916A30112FA47E902C7BCB0C53AEA7D0E2F6C7578B9D7EB95FC5E6240756B6C8AE04644E6A5D0E2868A5AD39696Bu8p4L" TargetMode = "External"/>
	<Relationship Id="rId13" Type="http://schemas.openxmlformats.org/officeDocument/2006/relationships/hyperlink" Target="consultantplus://offline/ref=EA8FA83E8BDC4A2FD7B0916A30112FA47991217FC80D53AEA7D0E2F6C7578B9D7EB95FC5E7260454B897AB117516655619366EBDB13B6Bu6pAL" TargetMode = "External"/>
	<Relationship Id="rId14" Type="http://schemas.openxmlformats.org/officeDocument/2006/relationships/hyperlink" Target="consultantplus://offline/ref=EA8FA83E8BDC4A2FD7B0916A30112FA479912F7BC90D53AEA7D0E2F6C7578B9D7EB95FC5E624025AB3C8AE04644E6A5D0E2868A5AD39696Bu8p4L" TargetMode = "External"/>
	<Relationship Id="rId15" Type="http://schemas.openxmlformats.org/officeDocument/2006/relationships/hyperlink" Target="consultantplus://offline/ref=EA8FA83E8BDC4A2FD7B0916A30112FA4749A2B7CC7070EA4AF89EEF4C058D49879A85FC6EF3A0755ADC1FA57u2p3L" TargetMode = "External"/>
	<Relationship Id="rId16" Type="http://schemas.openxmlformats.org/officeDocument/2006/relationships/hyperlink" Target="consultantplus://offline/ref=EA8FA83E8BDC4A2FD7B0916A30112FA479932C7BCF0953AEA7D0E2F6C7578B9D7EB95FC5E6240757B7C8AE04644E6A5D0E2868A5AD39696Bu8p4L" TargetMode = "External"/>
	<Relationship Id="rId17" Type="http://schemas.openxmlformats.org/officeDocument/2006/relationships/hyperlink" Target="consultantplus://offline/ref=EA8FA83E8BDC4A2FD7B0916A30112FA479932C7BCF0953AEA7D0E2F6C7578B9D7EB95FC7E1240C07E287AF582212795F01286AA3B1u3p8L" TargetMode = "External"/>
	<Relationship Id="rId18" Type="http://schemas.openxmlformats.org/officeDocument/2006/relationships/hyperlink" Target="consultantplus://offline/ref=EA8FA83E8BDC4A2FD7B08D692E112FA47C922F7DC70F53AEA7D0E2F6C7578B9D7EB95FC5E6240752B2C8AE04644E6A5D0E2868A5AD39696Bu8p4L" TargetMode = "External"/>
	<Relationship Id="rId19" Type="http://schemas.openxmlformats.org/officeDocument/2006/relationships/hyperlink" Target="consultantplus://offline/ref=EA8FA83E8BDC4A2FD7B0916A30112FA47990287BCA0E53AEA7D0E2F6C7578B9D7EB95FC5E5250C07E287AF582212795F01286AA3B1u3p8L" TargetMode = "External"/>
	<Relationship Id="rId20" Type="http://schemas.openxmlformats.org/officeDocument/2006/relationships/hyperlink" Target="consultantplus://offline/ref=EA8FA83E8BDC4A2FD7B08D692E112FA47E932F78C90E53AEA7D0E2F6C7578B9D7EB95FC5E6240753B0C8AE04644E6A5D0E2868A5AD39696Bu8p4L" TargetMode = "External"/>
	<Relationship Id="rId21" Type="http://schemas.openxmlformats.org/officeDocument/2006/relationships/hyperlink" Target="consultantplus://offline/ref=EA8FA83E8BDC4A2FD7B0916A30112FA479962D7CC80A53AEA7D0E2F6C7578B9D7EB95FC5E6240351B0C8AE04644E6A5D0E2868A5AD39696Bu8p4L" TargetMode = "External"/>
	<Relationship Id="rId22" Type="http://schemas.openxmlformats.org/officeDocument/2006/relationships/hyperlink" Target="consultantplus://offline/ref=EA8FA83E8BDC4A2FD7B0916A30112FA479962D7CC80A53AEA7D0E2F6C7578B9D7EB95FC5E22D0C07E287AF582212795F01286AA3B1u3p8L" TargetMode = "External"/>
	<Relationship Id="rId23" Type="http://schemas.openxmlformats.org/officeDocument/2006/relationships/hyperlink" Target="consultantplus://offline/ref=EA8FA83E8BDC4A2FD7B08D692E112FA47F932E7CC90F53AEA7D0E2F6C7578B9D7EB95FC5E6240653BBC8AE04644E6A5D0E2868A5AD39696Bu8p4L" TargetMode = "External"/>
	<Relationship Id="rId24" Type="http://schemas.openxmlformats.org/officeDocument/2006/relationships/hyperlink" Target="consultantplus://offline/ref=EA8FA83E8BDC4A2FD7B0916A30112FA47996207DCA0A53AEA7D0E2F6C7578B9D7EB95FCDEE210258E792BE002D196E41073076A1B339u6pAL" TargetMode = "External"/>
	<Relationship Id="rId25" Type="http://schemas.openxmlformats.org/officeDocument/2006/relationships/hyperlink" Target="consultantplus://offline/ref=EA8FA83E8BDC4A2FD7B0916A30112FA47996207DCA0A53AEA7D0E2F6C7578B9D7EB95FC2EF230F58E792BE002D196E41073076A1B339u6pAL" TargetMode = "External"/>
	<Relationship Id="rId26" Type="http://schemas.openxmlformats.org/officeDocument/2006/relationships/hyperlink" Target="consultantplus://offline/ref=EA8FA83E8BDC4A2FD7B0916A30112FA47996207DCA0A53AEA7D0E2F6C7578B9D7EB95FC5E6250151B7C8AE04644E6A5D0E2868A5AD39696Bu8p4L" TargetMode = "External"/>
	<Relationship Id="rId27" Type="http://schemas.openxmlformats.org/officeDocument/2006/relationships/hyperlink" Target="consultantplus://offline/ref=EA8FA83E8BDC4A2FD7B0916A30112FA47996207DCA0A53AEA7D0E2F6C7578B9D7EB95FC2EE220E58E792BE002D196E41073076A1B339u6pAL" TargetMode = "External"/>
	<Relationship Id="rId28" Type="http://schemas.openxmlformats.org/officeDocument/2006/relationships/image" Target="media/image2.png"/>
	<Relationship Id="rId29" Type="http://schemas.openxmlformats.org/officeDocument/2006/relationships/hyperlink" Target="consultantplus://offline/ref=EA8FA83E8BDC4A2FD7B08D692E112FA47C922F7DC70F53AEA7D0E2F6C7578B9D6CB907C9E42D1953B5DDF85522u1p8L" TargetMode = "External"/>
	<Relationship Id="rId30" Type="http://schemas.openxmlformats.org/officeDocument/2006/relationships/hyperlink" Target="consultantplus://offline/ref=EA8FA83E8BDC4A2FD7B08D692E112FA47F9B2A7AC60953AEA7D0E2F6C7578B9D6CB907C9E42D1953B5DDF85522u1p8L" TargetMode = "External"/>
	<Relationship Id="rId31" Type="http://schemas.openxmlformats.org/officeDocument/2006/relationships/hyperlink" Target="consultantplus://offline/ref=EA8FA83E8BDC4A2FD7B08D692E112FA47F932078C90A53AEA7D0E2F6C7578B9D7EB95FC5E6240753B5C8AE04644E6A5D0E2868A5AD39696Bu8p4L" TargetMode = "External"/>
	<Relationship Id="rId32" Type="http://schemas.openxmlformats.org/officeDocument/2006/relationships/hyperlink" Target="consultantplus://offline/ref=EA8FA83E8BDC4A2FD7B08D692E112FA47C9B2073CB0C53AEA7D0E2F6C7578B9D7EB95FC5E6240752B3C8AE04644E6A5D0E2868A5AD39696Bu8p4L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2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	<Relationship Id="rId2" Type="http://schemas.openxmlformats.org/officeDocument/2006/relationships/image" Target="media/image1.png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4023.00.02</Application>
  <Company>КонсультантПлюс Версия 4023.00.02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Типовая ситуация: Обязательный аудит: кто проходит и как сдать заключение
(Издательство "Главная книга", 2023)</dc:title>
  <dcterms:created xsi:type="dcterms:W3CDTF">2023-06-29T11:41:46Z</dcterms:created>
</cp:coreProperties>
</file>