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  <w:color w:val="392c69"/>
              </w:rPr>
              <w:t xml:space="preserve">КонсультантПлюс | Готовое решение | </w:t>
            </w:r>
            <w:r>
              <w:rPr>
                <w:sz w:val="20"/>
                <w:color w:val="392c69"/>
                <w:b w:val="on"/>
              </w:rPr>
              <w:t xml:space="preserve">Актуально на 28.06.2022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460" w:line-rule="auto"/>
      </w:pPr>
      <w:r>
        <w:rPr>
          <w:sz w:val="36"/>
          <w:b w:val="on"/>
        </w:rPr>
        <w:t xml:space="preserve">Особенности применения специального налогового режима "Налог на профессиональный доход"</w:t>
      </w:r>
    </w:p>
    <w:p>
      <w:pPr>
        <w:pStyle w:val="0"/>
        <w:outlineLvl w:val="0"/>
        <w:jc w:val="both"/>
      </w:pPr>
      <w:r>
        <w:rPr>
          <w:sz w:val="36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80"/>
        <w:gridCol w:w="9847"/>
        <w:gridCol w:w="180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e9500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8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2f4e6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0" w:type="dxa"/>
            </w:tcMar>
            <w:shd w:val="clear" w:fill="f2f4e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Специальный налоговый режим в виде налога на профессиональный доход вправе применять физлица, которые ведут деятельность в любом из субъектов РФ.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Главные преимущества спецрежима: плательщики освобождаются от НДФЛ, НДС. Вместо этого по итогам календарного месяца нужно в общем случае уплачивать налог. Низкие ставки - 4% и 6%. Страховые взносы на ОПС можно уплачивать в добровольном порядке.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Для работы и взаимодействия с инспекцией плательщик использует приложение "Мой налог".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Организации не будут налоговыми агентами при выплате доходов лицам на спецрежиме.</w:t>
            </w:r>
          </w:p>
        </w:tc>
        <w:tc>
          <w:tcPr>
            <w:tcW w:w="18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2f4e6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80" w:line-rule="auto"/>
        <w:outlineLvl w:val="0"/>
      </w:pPr>
      <w:r>
        <w:rPr>
          <w:sz w:val="30"/>
          <w:b w:val="on"/>
        </w:rPr>
        <w:t xml:space="preserve">5. Что учитывать организациям при взаимодействии с плательщиками налога на профессиональный доход</w:t>
      </w:r>
    </w:p>
    <w:bookmarkStart w:id="8" w:name="P8"/>
    <w:bookmarkEnd w:id="8"/>
    <w:p>
      <w:pPr>
        <w:pStyle w:val="0"/>
        <w:spacing w:before="200" w:line-rule="auto"/>
        <w:jc w:val="both"/>
      </w:pPr>
      <w:r>
        <w:rPr>
          <w:sz w:val="20"/>
          <w:highlight w:val="yellow"/>
        </w:rPr>
        <w:t xml:space="preserve">У организации в отношении облагаемого дохода, выплаченного плательщику налога на профессиональный доход, не возникает обязанностей налогового агента. Соответственно, платить НДФЛ с таких доходов и представлять расчет </w:t>
      </w:r>
      <w:hyperlink w:history="0" r:id="rId3" w:tooltip="Приказ ФНС России от 15.10.2020 N ЕД-7-11/753@ (ред. от 28.09.2021) &quot;Об утверждении формы расчета сумм налога на доходы физических лиц, исчисленных и удержанных налоговым агентом (форма 6-НДФЛ), порядка ее заполнения и представления, формата представления расчета сумм налога на доходы физических лиц, исчисленных и удержанных налоговым агентом, в электронной форме, а также формы справки о полученных физическим лицом доходах и удержанных суммах налога на доходы физических лиц&quot; (Зарегистрировано в Минюсте Росс {КонсультантПлюс}">
        <w:r>
          <w:rPr>
            <w:sz w:val="20"/>
            <w:color w:val="0000ff"/>
            <w:highlight w:val="yellow"/>
          </w:rPr>
          <w:t xml:space="preserve">6-НДФЛ</w:t>
        </w:r>
      </w:hyperlink>
      <w:r>
        <w:rPr>
          <w:sz w:val="20"/>
          <w:highlight w:val="yellow"/>
        </w:rPr>
        <w:t xml:space="preserve"> не надо. Условием такого освобождения является, в частности, наличие гражданско-правового договора (ГПД) и отсутствие с самозанятым лицом трудовых отношений либо их прекращение не менее двух лет назад (</w:t>
      </w:r>
      <w:hyperlink w:history="0" r:id="rId4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ч. 8 ст. 2</w:t>
        </w:r>
      </w:hyperlink>
      <w:r>
        <w:rPr>
          <w:sz w:val="20"/>
          <w:highlight w:val="yellow"/>
        </w:rPr>
        <w:t xml:space="preserve">, </w:t>
      </w:r>
      <w:hyperlink w:history="0" r:id="rId5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п. 8 ч. 2 ст. 6</w:t>
        </w:r>
      </w:hyperlink>
      <w:r>
        <w:rPr>
          <w:sz w:val="20"/>
          <w:highlight w:val="yellow"/>
        </w:rPr>
        <w:t xml:space="preserve"> Закона от 27.11.2018 N 422-ФЗ).</w:t>
      </w:r>
    </w:p>
    <w:bookmarkStart w:id="9" w:name="P9"/>
    <w:bookmarkEnd w:id="9"/>
    <w:p>
      <w:pPr>
        <w:pStyle w:val="0"/>
        <w:spacing w:before="200" w:line-rule="auto"/>
        <w:jc w:val="both"/>
      </w:pPr>
      <w:r>
        <w:rPr>
          <w:sz w:val="20"/>
          <w:highlight w:val="yellow"/>
        </w:rPr>
        <w:t xml:space="preserve">Выплаты плательщику налога на профессиональный доход не надо облагать страховыми взносами и отражать в отчетности по страховым взносам при условии (</w:t>
      </w:r>
      <w:hyperlink w:history="0" r:id="rId6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п. 8 ч. 2 ст. 6</w:t>
        </w:r>
      </w:hyperlink>
      <w:r>
        <w:rPr>
          <w:sz w:val="20"/>
          <w:highlight w:val="yellow"/>
        </w:rPr>
        <w:t xml:space="preserve">, </w:t>
      </w:r>
      <w:hyperlink w:history="0" r:id="rId7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ч. 1</w:t>
        </w:r>
      </w:hyperlink>
      <w:r>
        <w:rPr>
          <w:sz w:val="20"/>
          <w:highlight w:val="yellow"/>
        </w:rPr>
        <w:t xml:space="preserve">, </w:t>
      </w:r>
      <w:hyperlink w:history="0" r:id="rId8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  <w:highlight w:val="yellow"/>
          </w:rPr>
          <w:t xml:space="preserve">2 ст. 15</w:t>
        </w:r>
      </w:hyperlink>
      <w:r>
        <w:rPr>
          <w:sz w:val="20"/>
          <w:highlight w:val="yellow"/>
        </w:rPr>
        <w:t xml:space="preserve"> Закона от 27.11.2018 N 422-ФЗ):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1"/>
        </w:numPr>
      </w:pPr>
      <w:r>
        <w:rPr>
          <w:sz w:val="20"/>
          <w:highlight w:val="yellow"/>
        </w:rPr>
        <w:t xml:space="preserve">отсутствия с таким лицом трудовых отношений либо их завершения не менее двух лет назад;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1"/>
        </w:numPr>
      </w:pPr>
      <w:r>
        <w:rPr>
          <w:sz w:val="20"/>
          <w:highlight w:val="yellow"/>
        </w:rPr>
        <w:t xml:space="preserve">наличия чека из приложения "Мой налог". В нем, в частности, должны быть указаны дата, время, сумма платежа, Ф.И.О. самозанятого лица и его идентификационный номер.</w:t>
      </w:r>
    </w:p>
    <w:p>
      <w:pPr>
        <w:pStyle w:val="0"/>
        <w:spacing w:before="200" w:line-rule="auto"/>
        <w:jc w:val="both"/>
      </w:pPr>
      <w:r>
        <w:rPr>
          <w:sz w:val="20"/>
          <w:highlight w:val="yellow"/>
        </w:rPr>
        <w:t xml:space="preserve">Исключением являются </w:t>
      </w:r>
      <w:hyperlink w:history="0" r:id="rId9" w:tooltip="Готовое решение: Как заполнить и сдать отчетность по форме 4 - ФСС по страховым взносам от несчастных случаев за полугодие 2022 г. и последующие периоды (КонсультантПлюс, 2022) {КонсультантПлюс}">
        <w:r>
          <w:rPr>
            <w:sz w:val="20"/>
            <w:color w:val="0000ff"/>
            <w:highlight w:val="yellow"/>
          </w:rPr>
          <w:t xml:space="preserve">случаи</w:t>
        </w:r>
      </w:hyperlink>
      <w:r>
        <w:rPr>
          <w:sz w:val="20"/>
          <w:highlight w:val="yellow"/>
        </w:rPr>
        <w:t xml:space="preserve">, когда по условиям ГПД организация перечисляет взносы на травматизм на выплаты самозанятому лицу.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ГПД с самозанятым лицом надо проверять на наличие признаков трудового договора. Налоговый орган может прийти к вам с проверкой вместе с сотрудниками трудовой инспекции и переквалифицировать гражданско-правовой договор с такими признаками в трудовой. В этом случае вам грозит (</w:t>
      </w:r>
      <w:hyperlink w:history="0" r:id="rId10" w:tooltip="&lt;Информация&gt; ФНС России &quot;Гражданско-правовые договоры между работодателями и самозанятыми могут быть переквалифицированы в трудовые&quot; {КонсультантПлюс}">
        <w:r>
          <w:rPr>
            <w:sz w:val="20"/>
            <w:color w:val="0000ff"/>
          </w:rPr>
          <w:t xml:space="preserve">Информация</w:t>
        </w:r>
      </w:hyperlink>
      <w:r>
        <w:rPr>
          <w:sz w:val="20"/>
        </w:rPr>
        <w:t xml:space="preserve"> ФНС России, </w:t>
      </w:r>
      <w:hyperlink w:history="0" r:id="rId11" w:tooltip="Вопрос: О проведении контрольных мероприятий в отношении работодателей в целях выявления фактов неуплаты НДФЛ и страховых взносов. (Письмо УФНС РФ по Московской обл. от 27.07.2020 N 10-17/051757@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УФНС России по Московской области от 27.07.2020 N 10-17/051757@):</w:t>
      </w:r>
    </w:p>
    <w:bookmarkStart w:id="14" w:name="P14"/>
    <w:bookmarkEnd w:id="14"/>
    <w:p>
      <w:pPr>
        <w:pStyle w:val="0"/>
        <w:spacing w:before="200" w:line-rule="auto"/>
        <w:ind w:firstLine="-227" w:left="540"/>
        <w:jc w:val="both"/>
        <w:numPr>
          <w:ilvl w:val="0"/>
          <w:numId w:val="2"/>
        </w:numPr>
      </w:pPr>
      <w:r>
        <w:rPr>
          <w:sz w:val="20"/>
        </w:rPr>
        <w:t xml:space="preserve">административная ответственность (</w:t>
      </w:r>
      <w:hyperlink w:history="0" r:id="rId12" w:tooltip="&quot;Кодекс Российской Федерации об административных правонарушениях&quot; от 30.12.2001 N 195-ФЗ (ред. от 11.06.2022) {КонсультантПлюс}">
        <w:r>
          <w:rPr>
            <w:sz w:val="20"/>
            <w:color w:val="0000ff"/>
          </w:rPr>
          <w:t xml:space="preserve">ч. 2 ст. 3.12</w:t>
        </w:r>
      </w:hyperlink>
      <w:r>
        <w:rPr>
          <w:sz w:val="20"/>
        </w:rPr>
        <w:t xml:space="preserve">, </w:t>
      </w:r>
      <w:hyperlink w:history="0" r:id="rId13" w:tooltip="&quot;Кодекс Российской Федерации об административных правонарушениях&quot; от 30.12.2001 N 195-ФЗ (ред. от 11.06.2022) {КонсультантПлюс}">
        <w:r>
          <w:rPr>
            <w:sz w:val="20"/>
            <w:color w:val="0000ff"/>
          </w:rPr>
          <w:t xml:space="preserve">ч. 4 ст. 5.27</w:t>
        </w:r>
      </w:hyperlink>
      <w:r>
        <w:rPr>
          <w:sz w:val="20"/>
        </w:rPr>
        <w:t xml:space="preserve"> КоАП РФ);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2"/>
        </w:numPr>
      </w:pPr>
      <w:r>
        <w:rPr>
          <w:sz w:val="20"/>
        </w:rPr>
        <w:t xml:space="preserve">доначисление НДФЛ и страховых взносов, а также начисление пеней и штрафов.</w:t>
      </w:r>
    </w:p>
    <w:bookmarkStart w:id="16" w:name="P16"/>
    <w:bookmarkEnd w:id="16"/>
    <w:p>
      <w:pPr>
        <w:pStyle w:val="0"/>
        <w:spacing w:before="200" w:line-rule="auto"/>
        <w:jc w:val="both"/>
      </w:pPr>
      <w:r>
        <w:rPr>
          <w:sz w:val="20"/>
        </w:rPr>
        <w:t xml:space="preserve">К признакам подмены трудовых отношений гражданско-правовыми налоговые органы, в частности, относят организационную зависимость плательщика НПД от заказчика, а именно: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3"/>
        </w:numPr>
      </w:pPr>
      <w:r>
        <w:rPr>
          <w:sz w:val="20"/>
        </w:rPr>
        <w:t xml:space="preserve">по требованию заказчика физлицо обязано зарегистрироваться в качестве плательщика НПД;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3"/>
        </w:numPr>
      </w:pPr>
      <w:r>
        <w:rPr>
          <w:sz w:val="20"/>
        </w:rPr>
        <w:t xml:space="preserve">заказчик распределяет плательщиков НПД по объектам (маршрутам) исходя из производственной необходимости;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3"/>
        </w:numPr>
      </w:pPr>
      <w:r>
        <w:rPr>
          <w:sz w:val="20"/>
        </w:rPr>
        <w:t xml:space="preserve">заказчик определяет режим работы для плательщика НПД (продолжительность рабочего дня (смены), время отдыха);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3"/>
        </w:numPr>
      </w:pPr>
      <w:r>
        <w:rPr>
          <w:sz w:val="20"/>
        </w:rPr>
        <w:t xml:space="preserve">со стороны заказчика осуществляется непосредственный контроль и руководство работой плательщика НПД на объекте.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Кроме того, налоговики выделяют такие признаки: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4"/>
        </w:numPr>
      </w:pPr>
      <w:r>
        <w:rPr>
          <w:sz w:val="20"/>
        </w:rPr>
        <w:t xml:space="preserve">есть инфраструктурная зависимость. Плательщик НПД выполняет работу полностью из материалов, инструментами и на оборудовании заказчика;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4"/>
        </w:numPr>
      </w:pPr>
      <w:r>
        <w:rPr>
          <w:sz w:val="20"/>
        </w:rPr>
        <w:t xml:space="preserve">услуги плательщика НПД заказчик оплачивает и учитывает в порядке, аналогичном установленному Трудовым </w:t>
      </w:r>
      <w:hyperlink w:history="0" r:id="rId14" w:tooltip="&quot;Трудовой кодекс Российской Федерации&quot; от 30.12.2001 N 197-ФЗ (ред. от 25.02.2022) (с изм. и доп., вступ. в силу с 01.03.2022) {КонсультантПлюс}">
        <w:r>
          <w:rPr>
            <w:sz w:val="20"/>
            <w:color w:val="0000ff"/>
          </w:rPr>
          <w:t xml:space="preserve">кодексом</w:t>
        </w:r>
      </w:hyperlink>
      <w:r>
        <w:rPr>
          <w:sz w:val="20"/>
        </w:rPr>
        <w:t xml:space="preserve"> РФ.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Эти и </w:t>
      </w:r>
      <w:hyperlink w:history="0" r:id="rId15" w:tooltip="&lt;Письмо&gt; ФНС России от 15.04.2022 N ЕА-4-15/4674 &quot;О направлении информации по проведению мероприятий налогового контроля по НПД&quot; {КонсультантПлюс}">
        <w:r>
          <w:rPr>
            <w:sz w:val="20"/>
            <w:color w:val="0000ff"/>
          </w:rPr>
          <w:t xml:space="preserve">ряд других</w:t>
        </w:r>
      </w:hyperlink>
      <w:r>
        <w:rPr>
          <w:sz w:val="20"/>
        </w:rPr>
        <w:t xml:space="preserve"> признаков и обстоятельств характеризуют плательщика НПД как лицо, фактически лишенное предпринимательской самостоятельности в ведении своей деятельности, и указывают на фактически сложившиеся трудовые отношения (Письма ФНС России от 15.04.2022 </w:t>
      </w:r>
      <w:hyperlink w:history="0" r:id="rId16" w:tooltip="&lt;Письмо&gt; ФНС России от 15.04.2022 N ЕА-4-15/4674 &quot;О направлении информации по проведению мероприятий налогового контроля по НПД&quot; {КонсультантПлюс}">
        <w:r>
          <w:rPr>
            <w:sz w:val="20"/>
            <w:color w:val="0000ff"/>
          </w:rPr>
          <w:t xml:space="preserve">N ЕА-4-15/4674</w:t>
        </w:r>
      </w:hyperlink>
      <w:r>
        <w:rPr>
          <w:sz w:val="20"/>
        </w:rPr>
        <w:t xml:space="preserve">, от 16.09.2021 </w:t>
      </w:r>
      <w:hyperlink w:history="0" r:id="rId17" w:tooltip="Вопрос: Об оценке налоговых рисков при выборе контрагентов, в частности при привлечении к выполнению работ граждан, применяющих НПД, и о передаче плательщиком НПД чека покупателю (заказчику). (Письмо ФНС России от 16.09.2021 N АБ-4-20/13183@) {КонсультантПлюс}">
        <w:r>
          <w:rPr>
            <w:sz w:val="20"/>
            <w:color w:val="0000ff"/>
          </w:rPr>
          <w:t xml:space="preserve">N АБ-4-20/13183@</w:t>
        </w:r>
      </w:hyperlink>
      <w:r>
        <w:rPr>
          <w:sz w:val="20"/>
        </w:rPr>
        <w:t xml:space="preserve">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К доказательствам наличия трудовых отношений, в частности, относятся (</w:t>
      </w:r>
      <w:hyperlink w:history="0" r:id="rId18" w:tooltip="&lt;Письмо&gt; ФНС России от 15.04.2022 N ЕА-4-15/4674 &quot;О направлении информации по проведению мероприятий налогового контроля по НПД&quot;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ФНС России от 15.04.2022 N ЕА-4-15/4674):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5"/>
        </w:numPr>
      </w:pPr>
      <w:r>
        <w:rPr>
          <w:sz w:val="20"/>
        </w:rPr>
        <w:t xml:space="preserve">письменные доказательства (например, оформленный пропуск на территорию работодателя, журнал регистрации прихода-ухода сотрудников на работу);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5"/>
        </w:numPr>
      </w:pPr>
      <w:r>
        <w:rPr>
          <w:sz w:val="20"/>
        </w:rPr>
        <w:t xml:space="preserve">документы кадровой деятельности работодателя (графики работы (сменности), графики отпусков, документы о направлении работника в командировку и др.);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5"/>
        </w:numPr>
      </w:pPr>
      <w:r>
        <w:rPr>
          <w:sz w:val="20"/>
        </w:rPr>
        <w:t xml:space="preserve">расчетные листы о начислении заработной платы, ведомости выдачи денежных средств, сведения о перечислении денежных средств на банковскую карту работника;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5"/>
        </w:numPr>
      </w:pPr>
      <w:r>
        <w:rPr>
          <w:sz w:val="20"/>
        </w:rPr>
        <w:t xml:space="preserve">документы хозяйственной деятельности работодателя (например, заполняемые или подписываемые работником товарные накладные);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5"/>
        </w:numPr>
      </w:pPr>
      <w:r>
        <w:rPr>
          <w:sz w:val="20"/>
        </w:rPr>
        <w:t xml:space="preserve">документы по охране труда, свидетельские показания, аудио- и видеозаписи и др.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Если вы видите, что договор с самозанятым лицом имеет признаки трудового, отразите выплаты в его в пользу в отчетности по НДФЛ и в расчете по страховым взносам. Это позволит </w:t>
      </w:r>
      <w:hyperlink w:history="0" r:id="rId19" w:tooltip="&lt;Информация&gt; ФНС России &quot;Гражданско-правовые договоры между работодателями и самозанятыми могут быть переквалифицированы в трудовые&quot; {КонсультантПлюс}">
        <w:r>
          <w:rPr>
            <w:sz w:val="20"/>
            <w:color w:val="0000ff"/>
          </w:rPr>
          <w:t xml:space="preserve">избежать</w:t>
        </w:r>
      </w:hyperlink>
      <w:r>
        <w:rPr>
          <w:sz w:val="20"/>
        </w:rPr>
        <w:t xml:space="preserve"> негативных последствий в виде доначислений и уплаты пеней и штрафов (</w:t>
      </w:r>
      <w:hyperlink w:history="0" r:id="rId20" w:tooltip="Вопрос: О проведении контрольных мероприятий в отношении работодателей в целях выявления фактов неуплаты НДФЛ и страховых взносов. (Письмо УФНС РФ по Московской обл. от 27.07.2020 N 10-17/051757@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УФНС России по Московской области от 27.07.2020 N 10-17/051757@).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Если самозанятое лицо утратило право на применение спецрежима, с даты его утраты обязанность исчислять и уплачивать НДФЛ и страховые взносы в отношении этого лица возлагается на организацию (</w:t>
      </w:r>
      <w:hyperlink w:history="0" r:id="rId21" w:tooltip="&lt;Письмо&gt; ФНС России от 20.02.2019 N СД-4-3/2899@ &quot;О применении налога на профессиональный доход&quot;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ФНС России от 20.02.2019 N СД-4-3/2899@).</w:t>
      </w:r>
    </w:p>
    <w:bookmarkStart w:id="33" w:name="P33"/>
    <w:bookmarkEnd w:id="33"/>
    <w:p>
      <w:pPr>
        <w:pStyle w:val="0"/>
        <w:spacing w:before="200" w:line-rule="auto"/>
        <w:jc w:val="both"/>
      </w:pPr>
      <w:r>
        <w:rPr>
          <w:sz w:val="20"/>
        </w:rPr>
        <w:t xml:space="preserve">Организации могут учитывать в расходах затраты на приобретение товаров (работ, услуг, имущественных прав) у плательщиков НПД. Для их подтверждения нужен чек, сформированный в приложении "Мой налог" (</w:t>
      </w:r>
      <w:hyperlink w:history="0" r:id="rId22" w:tooltip="Вопрос: О применении НПД при оказании услуг юрлицам и документальном подтверждении расходов. (Письмо Минфина России от 08.09.2021 N 03-11-11/72631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Минфина России от 08.09.2021 N 03-11-11/72631). В чеке должны быть указаны в том числе наименование товара (работ, услуг) и ИНН заказчика. Кроме чека организация должна получить от самозанятого акт о выполнении работ или оказании услуг (</w:t>
      </w:r>
      <w:hyperlink w:history="0" r:id="rId23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п. п. 6</w:t>
        </w:r>
      </w:hyperlink>
      <w:r>
        <w:rPr>
          <w:sz w:val="20"/>
        </w:rPr>
        <w:t xml:space="preserve">, </w:t>
      </w:r>
      <w:hyperlink w:history="0" r:id="rId24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8 ч. 6 ст. 14</w:t>
        </w:r>
      </w:hyperlink>
      <w:r>
        <w:rPr>
          <w:sz w:val="20"/>
        </w:rPr>
        <w:t xml:space="preserve"> Закона от 27.11.2018 N 422-ФЗ, </w:t>
      </w:r>
      <w:hyperlink w:history="0" r:id="rId25" w:tooltip="&lt;Информация&gt; ФНС России &quot;Обязательно ли компании подписывать акт о выполнении работ с самозанятым&quot; {КонсультантПлюс}">
        <w:r>
          <w:rPr>
            <w:sz w:val="20"/>
            <w:color w:val="0000ff"/>
          </w:rPr>
          <w:t xml:space="preserve">Информация</w:t>
        </w:r>
      </w:hyperlink>
      <w:r>
        <w:rPr>
          <w:sz w:val="20"/>
        </w:rPr>
        <w:t xml:space="preserve"> ФНС России).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Организация при выполнении указанных условий может учесть расходы в том числе в случае, когда плательщик НПД аннулировал ранее сформированный чек без возврата ей денежных средств (</w:t>
      </w:r>
      <w:hyperlink w:history="0" r:id="rId26" w:tooltip="Вопрос: Об учете в целях налогообложения расходов на приобретение товаров (работ, услуг, имущественных прав) у плательщика НПД, аннулировавшего чек без возврата денежных средств покупателю (заказчику). (Письмо ФНС России от 28.10.2021 N ПА-4-20/15213@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ФНС России от 28.10.2021 N ПА-4-20/15213@).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Если самозанятое лицо действует через посредника, заказчику для подтверждения расходов также недостаточно чека. Необходимы и иные документы, подтверждающие факт совершения сделки между самозанятым и заказчиком, например агентский договор, акты выполненных работ (оказанных услуг) (</w:t>
      </w:r>
      <w:hyperlink w:history="0" r:id="rId27" w:tooltip="Вопрос: О возможности подтверждения организацией-заказчиком расходов на оплату услуг исполнителя, применяющего НПД, выданным им чеком. (Письмо ФНС России от 30.10.2020 N АБ-4-20/17902@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ФНС России от 30.10.2020 N АБ-4-20/17902@).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Затраты в виде выплат самозанятым по договорам подряда нужно учитывать в прочих расходах, связанных с производством и реализацией (</w:t>
      </w:r>
      <w:hyperlink w:history="0" r:id="rId28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1 ст. 14</w:t>
        </w:r>
      </w:hyperlink>
      <w:r>
        <w:rPr>
          <w:sz w:val="20"/>
        </w:rPr>
        <w:t xml:space="preserve">, </w:t>
      </w:r>
      <w:hyperlink w:history="0" r:id="rId29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8</w:t>
        </w:r>
      </w:hyperlink>
      <w:r>
        <w:rPr>
          <w:sz w:val="20"/>
        </w:rPr>
        <w:t xml:space="preserve">, </w:t>
      </w:r>
      <w:hyperlink w:history="0" r:id="rId30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9 ст. 15</w:t>
        </w:r>
      </w:hyperlink>
      <w:r>
        <w:rPr>
          <w:sz w:val="20"/>
        </w:rPr>
        <w:t xml:space="preserve"> Закона от 27.11.2018 N 422-ФЗ, Письма Минфина России от 22.07.2020 </w:t>
      </w:r>
      <w:hyperlink w:history="0" r:id="rId31" w:tooltip="Вопрос: Об учете в целях налога на прибыль выплат физлицам - плательщикам НПД по договорам подряда. (Письмо Минфина России от 22.07.2020 N 03-03-06/1/63730) {КонсультантПлюс}">
        <w:r>
          <w:rPr>
            <w:sz w:val="20"/>
            <w:color w:val="0000ff"/>
          </w:rPr>
          <w:t xml:space="preserve">N 03-03-06/1/63730</w:t>
        </w:r>
      </w:hyperlink>
      <w:r>
        <w:rPr>
          <w:sz w:val="20"/>
        </w:rPr>
        <w:t xml:space="preserve">, от 26.03.2020 </w:t>
      </w:r>
      <w:hyperlink w:history="0" r:id="rId32" w:tooltip="Вопрос: О документальном подтверждении в целях налога на прибыль расходов на приобретение услуг, в том числе у налогоплательщиков НПД. (Письмо Минфина России от 26.03.2020 N 03-11-11/24008) {КонсультантПлюс}">
        <w:r>
          <w:rPr>
            <w:sz w:val="20"/>
            <w:color w:val="0000ff"/>
          </w:rPr>
          <w:t xml:space="preserve">N 03-11-11/24008</w:t>
        </w:r>
      </w:hyperlink>
      <w:r>
        <w:rPr>
          <w:sz w:val="20"/>
        </w:rPr>
        <w:t xml:space="preserve">, ФНС России от 20.02.2019 </w:t>
      </w:r>
      <w:hyperlink w:history="0" r:id="rId33" w:tooltip="&lt;Письмо&gt; ФНС России от 20.02.2019 N СД-4-3/2899@ &quot;О применении налога на профессиональный доход&quot; {КонсультантПлюс}">
        <w:r>
          <w:rPr>
            <w:sz w:val="20"/>
            <w:color w:val="0000ff"/>
          </w:rPr>
          <w:t xml:space="preserve">N СД-4-3/2899@</w:t>
        </w:r>
      </w:hyperlink>
      <w:r>
        <w:rPr>
          <w:sz w:val="20"/>
        </w:rPr>
        <w:t xml:space="preserve">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</w:pPr>
      <w:r>
        <w:rPr>
          <w:sz w:val="24"/>
          <w:b w:val="on"/>
        </w:rPr>
        <w:t xml:space="preserve">5.1. Документооборот с самозанятым лицом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При работе с самозанятым лицом учитывайте некоторые особенности документооборота с ним: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6"/>
        </w:numPr>
      </w:pPr>
      <w:r>
        <w:rPr>
          <w:sz w:val="20"/>
        </w:rPr>
        <w:t xml:space="preserve">при оформлении гражданско-правового договора с самозанятым проследите, что бы в этом договоре не было </w:t>
      </w:r>
      <w:hyperlink w:history="0" w:anchor="P16" w:tooltip="К признакам подмены трудовых отношений гражданско-правовыми налоговые органы, в частности, относят организационную зависимость плательщика НПД от заказчика, а именно:">
        <w:r>
          <w:rPr>
            <w:sz w:val="20"/>
            <w:color w:val="0000ff"/>
          </w:rPr>
          <w:t xml:space="preserve">признаков</w:t>
        </w:r>
      </w:hyperlink>
      <w:r>
        <w:rPr>
          <w:sz w:val="20"/>
        </w:rPr>
        <w:t xml:space="preserve"> трудовых отношений. Иначе проверяющие могут переквалифицировать ваш договор в трудовой, привлечь вас к </w:t>
      </w:r>
      <w:hyperlink w:history="0" w:anchor="P14" w:tooltip="административная ответственность (ч. 2 ст. 3.12, ч. 4 ст. 5.27 КоАП РФ);">
        <w:r>
          <w:rPr>
            <w:sz w:val="20"/>
            <w:color w:val="0000ff"/>
          </w:rPr>
          <w:t xml:space="preserve">административной</w:t>
        </w:r>
      </w:hyperlink>
      <w:r>
        <w:rPr>
          <w:sz w:val="20"/>
        </w:rPr>
        <w:t xml:space="preserve"> ответственности, доначислить НДФЛ, страховые взносы, а также пени и штрафы (</w:t>
      </w:r>
      <w:hyperlink w:history="0" r:id="rId34" w:tooltip="&lt;Информация&gt; ФНС России &quot;Гражданско-правовые договоры между работодателями и самозанятыми могут быть переквалифицированы в трудовые&quot; {КонсультантПлюс}">
        <w:r>
          <w:rPr>
            <w:sz w:val="20"/>
            <w:color w:val="0000ff"/>
          </w:rPr>
          <w:t xml:space="preserve">Информация</w:t>
        </w:r>
      </w:hyperlink>
      <w:r>
        <w:rPr>
          <w:sz w:val="20"/>
        </w:rPr>
        <w:t xml:space="preserve"> ФНС России);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6"/>
        </w:numPr>
      </w:pPr>
      <w:r>
        <w:rPr>
          <w:sz w:val="20"/>
        </w:rPr>
        <w:t xml:space="preserve">запросите у самозанятого </w:t>
      </w:r>
      <w:hyperlink w:history="0" r:id="rId35" w:tooltip="&lt;Письмо&gt; ФНС России от 05.06.2019 N СД-4-3/10848 &quot;О справках по налогу на профессиональный доход&quot; {КонсультантПлюс}">
        <w:r>
          <w:rPr>
            <w:sz w:val="20"/>
            <w:color w:val="0000ff"/>
          </w:rPr>
          <w:t xml:space="preserve">справку</w:t>
        </w:r>
      </w:hyperlink>
      <w:r>
        <w:rPr>
          <w:sz w:val="20"/>
        </w:rPr>
        <w:t xml:space="preserve">, которая подтверждает его регистрацию в качестве плательщика НПД. Эта справка будет для вас основанием </w:t>
      </w:r>
      <w:hyperlink w:history="0" w:anchor="P8" w:tooltip="У организации в отношении облагаемого дохода, выплаченного плательщику налога на профессиональный доход, не возникает обязанностей налогового агента. Соответственно, платить НДФЛ с таких доходов и представлять расчет 6-НДФЛ не надо. Условием такого освобождения является, в частности, наличие гражданско-правового договора (ГПД) и отсутствие с самозанятым лицом трудовых отношений либо их прекращение не менее двух лет назад (ч. 8 ст. 2, п. 8 ч. 2 ст. 6 Закона от 27.11.2018 N 422-ФЗ).">
        <w:r>
          <w:rPr>
            <w:sz w:val="20"/>
            <w:color w:val="0000ff"/>
          </w:rPr>
          <w:t xml:space="preserve">не удерживать НДФЛ</w:t>
        </w:r>
      </w:hyperlink>
      <w:r>
        <w:rPr>
          <w:sz w:val="20"/>
        </w:rPr>
        <w:t xml:space="preserve"> с выплат физлицу, ведь самозанятые вместо НДФЛ платят НПД со своих доходов (</w:t>
      </w:r>
      <w:hyperlink w:history="0" r:id="rId36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8 ст. 2</w:t>
        </w:r>
      </w:hyperlink>
      <w:r>
        <w:rPr>
          <w:sz w:val="20"/>
        </w:rPr>
        <w:t xml:space="preserve"> Закона N 422-ФЗ).</w:t>
      </w:r>
    </w:p>
    <w:p>
      <w:pPr>
        <w:pStyle w:val="0"/>
        <w:spacing w:before="200" w:line-rule="auto"/>
        <w:ind w:left="540"/>
        <w:jc w:val="both"/>
      </w:pPr>
      <w:r>
        <w:rPr>
          <w:sz w:val="20"/>
        </w:rPr>
        <w:t xml:space="preserve">Проверить регистрацию физлица в качестве самозанятого вы также можете сами на сайте ФНС России </w:t>
      </w:r>
      <w:r>
        <w:rPr>
          <w:sz w:val="20"/>
        </w:rPr>
        <w:t xml:space="preserve">https://npd.nalog.ru/check-status/</w:t>
      </w:r>
      <w:r>
        <w:rPr>
          <w:sz w:val="20"/>
        </w:rPr>
        <w:t xml:space="preserve">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6"/>
        </w:numPr>
      </w:pPr>
      <w:r>
        <w:rPr>
          <w:sz w:val="20"/>
        </w:rPr>
        <w:t xml:space="preserve">при оплате самозанятому товаров (работ, услуг, имущественных прав) получите от него специальный чек, сформированный согласно </w:t>
      </w:r>
      <w:hyperlink w:history="0" r:id="rId37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ст. 14</w:t>
        </w:r>
      </w:hyperlink>
      <w:r>
        <w:rPr>
          <w:sz w:val="20"/>
        </w:rPr>
        <w:t xml:space="preserve"> Закона N 422-ФЗ. Этот чек понадобится вам для того, чтобы:</w:t>
      </w:r>
    </w:p>
    <w:p>
      <w:pPr>
        <w:pStyle w:val="0"/>
        <w:spacing w:before="200" w:line-rule="auto"/>
        <w:ind w:firstLine="-227" w:left="1080"/>
        <w:jc w:val="both"/>
        <w:numPr>
          <w:ilvl w:val="1"/>
          <w:numId w:val="6"/>
        </w:numPr>
      </w:pPr>
      <w:hyperlink w:history="0" w:anchor="P9" w:tooltip="Выплаты плательщику налога на профессиональный доход не надо облагать страховыми взносами и отражать в отчетности по страховым взносам при условии (п. 8 ч. 2 ст. 6, ч. 1, 2 ст. 15 Закона от 27.11.2018 N 422-ФЗ):">
        <w:r>
          <w:rPr>
            <w:sz w:val="20"/>
            <w:color w:val="0000ff"/>
          </w:rPr>
          <w:t xml:space="preserve">не начислять</w:t>
        </w:r>
      </w:hyperlink>
      <w:r>
        <w:rPr>
          <w:sz w:val="20"/>
        </w:rPr>
        <w:t xml:space="preserve"> страховые взносы на выплаты физлицу, зарегистрированному в качестве самозанятого (</w:t>
      </w:r>
      <w:hyperlink w:history="0" r:id="rId38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1 ст. 15</w:t>
        </w:r>
      </w:hyperlink>
      <w:r>
        <w:rPr>
          <w:sz w:val="20"/>
        </w:rPr>
        <w:t xml:space="preserve"> Закона N 422-ФЗ);</w:t>
      </w:r>
    </w:p>
    <w:p>
      <w:pPr>
        <w:pStyle w:val="0"/>
        <w:spacing w:before="200" w:line-rule="auto"/>
        <w:ind w:firstLine="-227" w:left="1080"/>
        <w:jc w:val="both"/>
        <w:numPr>
          <w:ilvl w:val="1"/>
          <w:numId w:val="6"/>
        </w:numPr>
      </w:pPr>
      <w:hyperlink w:history="0" w:anchor="P33" w:tooltip="Организации могут учитывать в расходах затраты на приобретение товаров (работ, услуг, имущественных прав) у плательщиков НПД. Для их подтверждения нужен чек, сформированный в приложении &quot;Мой налог&quot; (Письмо Минфина России от 08.09.2021 N 03-11-11/72631). В чеке должны быть указаны в том числе наименование товара (работ, услуг) и ИНН заказчика. Кроме чека организация должна получить от самозанятого акт о выполнении работ или оказании услуг (п. п. 6, 8 ч. 6 ст. 14 Закона от 27.11.2018 N 422-ФЗ, Информация Ф...">
        <w:r>
          <w:rPr>
            <w:sz w:val="20"/>
            <w:color w:val="0000ff"/>
          </w:rPr>
          <w:t xml:space="preserve">учесть в расходах</w:t>
        </w:r>
      </w:hyperlink>
      <w:r>
        <w:rPr>
          <w:sz w:val="20"/>
        </w:rPr>
        <w:t xml:space="preserve"> затраты на покупку у самозанятого товаров (работ, услуг, имущественных прав). Без чека это сделать не получится (</w:t>
      </w:r>
      <w:hyperlink w:history="0" r:id="rId39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8</w:t>
        </w:r>
      </w:hyperlink>
      <w:r>
        <w:rPr>
          <w:sz w:val="20"/>
        </w:rPr>
        <w:t xml:space="preserve"> - </w:t>
      </w:r>
      <w:hyperlink w:history="0" r:id="rId40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10 ст. 15</w:t>
        </w:r>
      </w:hyperlink>
      <w:r>
        <w:rPr>
          <w:sz w:val="20"/>
        </w:rPr>
        <w:t xml:space="preserve"> Закона N 422-ФЗ). При этом другие </w:t>
      </w:r>
      <w:hyperlink w:history="0" r:id="rId41" w:tooltip="Путеводитель. Какие затраты признаются расходами для налога на прибыль (КонсультантПлюс, 2022) {КонсультантПлюс}">
        <w:r>
          <w:rPr>
            <w:sz w:val="20"/>
            <w:color w:val="0000ff"/>
          </w:rPr>
          <w:t xml:space="preserve">документы</w:t>
        </w:r>
      </w:hyperlink>
      <w:r>
        <w:rPr>
          <w:sz w:val="20"/>
        </w:rPr>
        <w:t xml:space="preserve">, которыми обычно подтверждают расходы для целей налогового учета (например, акты выполненных работ), тоже нужно оформлять (</w:t>
      </w:r>
      <w:hyperlink w:history="0" r:id="rId42" w:tooltip="&quot;Налоговый кодекс Российской Федерации (часть вторая)&quot; от 05.08.2000 N 117-ФЗ (ред. от 28.05.2022) {КонсультантПлюс}">
        <w:r>
          <w:rPr>
            <w:sz w:val="20"/>
            <w:color w:val="0000ff"/>
          </w:rPr>
          <w:t xml:space="preserve">п. 1 ст. 252</w:t>
        </w:r>
      </w:hyperlink>
      <w:r>
        <w:rPr>
          <w:sz w:val="20"/>
        </w:rPr>
        <w:t xml:space="preserve"> НК РФ, </w:t>
      </w:r>
      <w:hyperlink w:history="0" r:id="rId43" w:tooltip="Вопрос: О подтверждении расходов в целях налога на прибыль чеком, сформированным налогоплательщиком НПД. (Письмо Минфина России от 22.09.2021 N 03-11-11/76769) {КонсультантПлюс}">
        <w:r>
          <w:rPr>
            <w:sz w:val="20"/>
            <w:color w:val="0000ff"/>
          </w:rPr>
          <w:t xml:space="preserve">Письмо</w:t>
        </w:r>
      </w:hyperlink>
      <w:r>
        <w:rPr>
          <w:sz w:val="20"/>
        </w:rPr>
        <w:t xml:space="preserve"> Минфина России от 22.09.2021 N 03-11-11/76769, </w:t>
      </w:r>
      <w:hyperlink w:history="0" r:id="rId44" w:tooltip="&lt;Информация&gt; ФНС России &quot;Обязательно ли компании подписывать акт о выполнении работ с самозанятым&quot; {КонсультантПлюс}">
        <w:r>
          <w:rPr>
            <w:sz w:val="20"/>
            <w:color w:val="0000ff"/>
          </w:rPr>
          <w:t xml:space="preserve">Информация</w:t>
        </w:r>
      </w:hyperlink>
      <w:r>
        <w:rPr>
          <w:sz w:val="20"/>
        </w:rPr>
        <w:t xml:space="preserve"> ФНС России).</w:t>
      </w:r>
    </w:p>
    <w:p>
      <w:pPr>
        <w:pStyle w:val="0"/>
        <w:spacing w:before="200" w:line-rule="auto"/>
        <w:ind w:left="540"/>
        <w:jc w:val="both"/>
      </w:pPr>
      <w:r>
        <w:rPr>
          <w:sz w:val="20"/>
        </w:rPr>
        <w:t xml:space="preserve">Чек самозанятого вы можете получить в бумажном или электронном виде (например, на электронную почту) (</w:t>
      </w:r>
      <w:hyperlink w:history="0" r:id="rId45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4</w:t>
        </w:r>
      </w:hyperlink>
      <w:r>
        <w:rPr>
          <w:sz w:val="20"/>
        </w:rPr>
        <w:t xml:space="preserve">, </w:t>
      </w:r>
      <w:hyperlink w:history="0" r:id="rId46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5 ст. 14</w:t>
        </w:r>
      </w:hyperlink>
      <w:r>
        <w:rPr>
          <w:sz w:val="20"/>
        </w:rPr>
        <w:t xml:space="preserve"> Закона N 422-ФЗ).</w:t>
      </w:r>
    </w:p>
    <w:p>
      <w:pPr>
        <w:pStyle w:val="0"/>
        <w:spacing w:before="200" w:line-rule="auto"/>
        <w:ind w:left="540"/>
        <w:jc w:val="both"/>
      </w:pPr>
      <w:r>
        <w:rPr>
          <w:sz w:val="20"/>
        </w:rPr>
        <w:t xml:space="preserve">Если расплатились с самозанятым наличными деньгами или с использованием электронных средств платежа (например, банковской картой), то чек вы получите сразу. Если же была безналичная оплата, то чек вам должны выдать не позднее 9-го числа месяца, следующего за месяцем, в котором произведены расчеты (</w:t>
      </w:r>
      <w:hyperlink w:history="0" r:id="rId47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1 ст. 9</w:t>
        </w:r>
      </w:hyperlink>
      <w:r>
        <w:rPr>
          <w:sz w:val="20"/>
        </w:rPr>
        <w:t xml:space="preserve">, </w:t>
      </w:r>
      <w:hyperlink w:history="0" r:id="rId48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3 ст. 14</w:t>
        </w:r>
      </w:hyperlink>
      <w:r>
        <w:rPr>
          <w:sz w:val="20"/>
        </w:rPr>
        <w:t xml:space="preserve"> Закона N 422-ФЗ);</w:t>
      </w:r>
    </w:p>
    <w:p>
      <w:pPr>
        <w:pStyle w:val="0"/>
        <w:spacing w:before="200" w:line-rule="auto"/>
        <w:ind w:firstLine="-227" w:left="540"/>
        <w:jc w:val="both"/>
        <w:numPr>
          <w:ilvl w:val="0"/>
          <w:numId w:val="6"/>
        </w:numPr>
      </w:pPr>
      <w:r>
        <w:rPr>
          <w:sz w:val="20"/>
        </w:rPr>
        <w:t xml:space="preserve">счета-фактуры самозанятый вам выставлять не будет, так как не является плательщиком НДС. Это следует из </w:t>
      </w:r>
      <w:hyperlink w:history="0" r:id="rId49" w:tooltip="Федеральный закон от 27.11.2018 N 422-ФЗ (ред. от 02.07.2021) &quot;О проведении эксперимента по установлению специального налогового режима &quot;Налог на профессиональный доход&quot; (с изм. и доп., вступ. в силу с 01.01.2022) {КонсультантПлюс}">
        <w:r>
          <w:rPr>
            <w:sz w:val="20"/>
            <w:color w:val="0000ff"/>
          </w:rPr>
          <w:t xml:space="preserve">ч. 9 ст. 2</w:t>
        </w:r>
      </w:hyperlink>
      <w:r>
        <w:rPr>
          <w:sz w:val="20"/>
        </w:rPr>
        <w:t xml:space="preserve"> Закона N 422-ФЗ, </w:t>
      </w:r>
      <w:hyperlink w:history="0" r:id="rId50" w:tooltip="&quot;Налоговый кодекс Российской Федерации (часть вторая)&quot; от 05.08.2000 N 117-ФЗ (ред. от 28.05.2022) {КонсультантПлюс}">
        <w:r>
          <w:rPr>
            <w:sz w:val="20"/>
            <w:color w:val="0000ff"/>
          </w:rPr>
          <w:t xml:space="preserve">п. 1 ст. 143</w:t>
        </w:r>
      </w:hyperlink>
      <w:r>
        <w:rPr>
          <w:sz w:val="20"/>
        </w:rPr>
        <w:t xml:space="preserve">, </w:t>
      </w:r>
      <w:hyperlink w:history="0" r:id="rId51" w:tooltip="&quot;Налоговый кодекс Российской Федерации (часть вторая)&quot; от 05.08.2000 N 117-ФЗ (ред. от 28.05.2022) {КонсультантПлюс}">
        <w:r>
          <w:rPr>
            <w:sz w:val="20"/>
            <w:color w:val="0000ff"/>
          </w:rPr>
          <w:t xml:space="preserve">п. 3 ст. 169</w:t>
        </w:r>
      </w:hyperlink>
      <w:r>
        <w:rPr>
          <w:sz w:val="20"/>
        </w:rPr>
        <w:t xml:space="preserve"> НК РФ.</w:t>
      </w:r>
    </w:p>
    <w:p>
      <w:pPr>
        <w:pStyle w:val="0"/>
        <w:spacing w:before="200" w:line-rule="auto"/>
        <w:ind w:left="540"/>
        <w:jc w:val="both"/>
      </w:pPr>
      <w:r>
        <w:rPr>
          <w:sz w:val="20"/>
        </w:rPr>
        <w:t xml:space="preserve">Счета-фактуры (УПД) в адрес самозанятого вы можете выставлять в бумажном виде даже по </w:t>
      </w:r>
      <w:hyperlink w:history="0" r:id="rId52" w:tooltip="Путеводитель. Что нужно знать о прослеживаемости товаров (КонсультантПлюс, 2022) {КонсультантПлюс}">
        <w:r>
          <w:rPr>
            <w:sz w:val="20"/>
            <w:color w:val="0000ff"/>
          </w:rPr>
          <w:t xml:space="preserve">прослеживаемым товарам</w:t>
        </w:r>
      </w:hyperlink>
      <w:r>
        <w:rPr>
          <w:sz w:val="20"/>
        </w:rPr>
        <w:t xml:space="preserve">. Это следует из </w:t>
      </w:r>
      <w:hyperlink w:history="0" r:id="rId53" w:tooltip="&quot;Налоговый кодекс Российской Федерации (часть вторая)&quot; от 05.08.2000 N 117-ФЗ (ред. от 28.05.2022) {КонсультантПлюс}">
        <w:r>
          <w:rPr>
            <w:sz w:val="20"/>
            <w:color w:val="0000ff"/>
          </w:rPr>
          <w:t xml:space="preserve">п. 1</w:t>
        </w:r>
      </w:hyperlink>
      <w:r>
        <w:rPr>
          <w:sz w:val="20"/>
        </w:rPr>
        <w:t xml:space="preserve">, </w:t>
      </w:r>
      <w:hyperlink w:history="0" r:id="rId54" w:tooltip="&quot;Налоговый кодекс Российской Федерации (часть вторая)&quot; от 05.08.2000 N 117-ФЗ (ред. от 28.05.2022) {КонсультантПлюс}">
        <w:r>
          <w:rPr>
            <w:sz w:val="20"/>
            <w:color w:val="0000ff"/>
          </w:rPr>
          <w:t xml:space="preserve">пп. 1 п. 1.1 ст. 169</w:t>
        </w:r>
      </w:hyperlink>
      <w:r>
        <w:rPr>
          <w:sz w:val="20"/>
        </w:rPr>
        <w:t xml:space="preserve"> НК РФ, </w:t>
      </w:r>
      <w:hyperlink w:history="0" r:id="rId55" w:tooltip="Постановление Правительства РФ от 01.07.2021 N 1108 &quot;Об утверждении Положения о национальной системе прослеживаемости товаров&quot; {КонсультантПлюс}">
        <w:r>
          <w:rPr>
            <w:sz w:val="20"/>
            <w:color w:val="0000ff"/>
          </w:rPr>
          <w:t xml:space="preserve">пп. "г" п. 13</w:t>
        </w:r>
      </w:hyperlink>
      <w:r>
        <w:rPr>
          <w:sz w:val="20"/>
        </w:rPr>
        <w:t xml:space="preserve"> Положения о национальной системе прослеживаемости товаров.</w:t>
      </w:r>
    </w:p>
    <w:p>
      <w:pPr>
        <w:pStyle w:val="0"/>
        <w:jc w:val="both"/>
      </w:pPr>
      <w:r>
        <w:rPr>
          <w:sz w:val="20"/>
        </w:rPr>
      </w:r>
    </w:p>
    <w:sectPr>
      <w:pgSz w:w="11906" w:h="16838"/>
      <w:pgMar w:top="1440" w:right="566" w:bottom="1440" w:left="1133" w:header="0" w:footer="0" w:gutter="0"/>
      <w:titlePg/>
    </w:sectPr>
  </w:body>
</w:document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1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227"/>
      </w:pPr>
      <w:rPr>
        <w:rFonts w:ascii="Courier New" w:hAnsi="Courier New" w:hint="default"/>
      </w:rPr>
    </w:lvl>
  </w:abstractNum>
  <w:abstractNum w:abstractNumId="2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227"/>
      </w:pPr>
      <w:rPr>
        <w:rFonts w:ascii="Courier New" w:hAnsi="Courier New" w:hint="default"/>
      </w:rPr>
    </w:lvl>
  </w:abstractNum>
  <w:abstractNum w:abstractNumId="3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227"/>
      </w:pPr>
      <w:rPr>
        <w:rFonts w:ascii="Courier New" w:hAnsi="Courier New" w:hint="default"/>
      </w:rPr>
    </w:lvl>
  </w:abstractNum>
  <w:abstractNum w:abstractNumId="4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227"/>
      </w:pPr>
      <w:rPr>
        <w:rFonts w:ascii="Courier New" w:hAnsi="Courier New" w:hint="default"/>
      </w:rPr>
    </w:lvl>
  </w:abstractNum>
  <w:abstractNum w:abstractNumId="5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227"/>
      </w:pPr>
      <w:rPr>
        <w:rFonts w:ascii="Courier New" w:hAnsi="Courier New" w:hint="default"/>
      </w:rPr>
    </w:lvl>
  </w:abstractNum>
  <w:abstractNum w:abstractNumId="6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227"/>
      </w:pPr>
      <w:rPr>
        <w:rFonts w:ascii="Courier New" w:hAnsi="Courier New" w:hint="default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6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numbering" Target="numbering.xml"/>
	<Relationship Id="rId3" Type="http://schemas.openxmlformats.org/officeDocument/2006/relationships/hyperlink" Target="https://login.consultant.ru/link/?req=doc&amp;base=LAW&amp;n=399535&amp;dst=100027" TargetMode = "External"/>
	<Relationship Id="rId4" Type="http://schemas.openxmlformats.org/officeDocument/2006/relationships/hyperlink" Target="https://login.consultant.ru/link/?req=doc&amp;base=LAW&amp;n=387000&amp;dst=100020" TargetMode = "External"/>
	<Relationship Id="rId5" Type="http://schemas.openxmlformats.org/officeDocument/2006/relationships/hyperlink" Target="https://login.consultant.ru/link/?req=doc&amp;base=LAW&amp;n=387000&amp;dst=100075" TargetMode = "External"/>
	<Relationship Id="rId6" Type="http://schemas.openxmlformats.org/officeDocument/2006/relationships/hyperlink" Target="https://login.consultant.ru/link/?req=doc&amp;base=LAW&amp;n=387000&amp;dst=100075" TargetMode = "External"/>
	<Relationship Id="rId7" Type="http://schemas.openxmlformats.org/officeDocument/2006/relationships/hyperlink" Target="https://login.consultant.ru/link/?req=doc&amp;base=LAW&amp;n=387000&amp;dst=100139" TargetMode = "External"/>
	<Relationship Id="rId8" Type="http://schemas.openxmlformats.org/officeDocument/2006/relationships/hyperlink" Target="https://login.consultant.ru/link/?req=doc&amp;base=LAW&amp;n=387000&amp;dst=100141" TargetMode = "External"/>
	<Relationship Id="rId9" Type="http://schemas.openxmlformats.org/officeDocument/2006/relationships/hyperlink" Target="https://login.consultant.ru/link/?req=doc&amp;base=PBI&amp;n=301153&amp;dst=100007" TargetMode = "External"/>
	<Relationship Id="rId10" Type="http://schemas.openxmlformats.org/officeDocument/2006/relationships/hyperlink" Target="https://login.consultant.ru/link/?req=doc&amp;base=LAW&amp;n=338558&amp;dst=100004" TargetMode = "External"/>
	<Relationship Id="rId11" Type="http://schemas.openxmlformats.org/officeDocument/2006/relationships/hyperlink" Target="https://login.consultant.ru/link/?req=doc&amp;base=QUEST&amp;n=197639" TargetMode = "External"/>
	<Relationship Id="rId12" Type="http://schemas.openxmlformats.org/officeDocument/2006/relationships/hyperlink" Target="https://login.consultant.ru/link/?req=doc&amp;base=LAW&amp;n=419255&amp;dst=2820" TargetMode = "External"/>
	<Relationship Id="rId13" Type="http://schemas.openxmlformats.org/officeDocument/2006/relationships/hyperlink" Target="https://login.consultant.ru/link/?req=doc&amp;base=LAW&amp;n=419255&amp;dst=7450" TargetMode = "External"/>
	<Relationship Id="rId14" Type="http://schemas.openxmlformats.org/officeDocument/2006/relationships/hyperlink" Target="https://login.consultant.ru/link/?req=doc&amp;base=LAW&amp;n=389182" TargetMode = "External"/>
	<Relationship Id="rId15" Type="http://schemas.openxmlformats.org/officeDocument/2006/relationships/hyperlink" Target="https://login.consultant.ru/link/?req=doc&amp;base=LAW&amp;n=415304&amp;dst=100007" TargetMode = "External"/>
	<Relationship Id="rId16" Type="http://schemas.openxmlformats.org/officeDocument/2006/relationships/hyperlink" Target="https://login.consultant.ru/link/?req=doc&amp;base=LAW&amp;n=415304" TargetMode = "External"/>
	<Relationship Id="rId17" Type="http://schemas.openxmlformats.org/officeDocument/2006/relationships/hyperlink" Target="https://login.consultant.ru/link/?req=doc&amp;base=QUEST&amp;n=206708&amp;dst=100016" TargetMode = "External"/>
	<Relationship Id="rId18" Type="http://schemas.openxmlformats.org/officeDocument/2006/relationships/hyperlink" Target="https://login.consultant.ru/link/?req=doc&amp;base=LAW&amp;n=415304" TargetMode = "External"/>
	<Relationship Id="rId19" Type="http://schemas.openxmlformats.org/officeDocument/2006/relationships/hyperlink" Target="https://login.consultant.ru/link/?req=doc&amp;base=LAW&amp;n=338558&amp;dst=100007" TargetMode = "External"/>
	<Relationship Id="rId20" Type="http://schemas.openxmlformats.org/officeDocument/2006/relationships/hyperlink" Target="https://login.consultant.ru/link/?req=doc&amp;base=QUEST&amp;n=197639&amp;dst=100016" TargetMode = "External"/>
	<Relationship Id="rId21" Type="http://schemas.openxmlformats.org/officeDocument/2006/relationships/hyperlink" Target="https://login.consultant.ru/link/?req=doc&amp;base=LAW&amp;n=318780" TargetMode = "External"/>
	<Relationship Id="rId22" Type="http://schemas.openxmlformats.org/officeDocument/2006/relationships/hyperlink" Target="https://login.consultant.ru/link/?req=doc&amp;base=QUEST&amp;n=206690&amp;dst=100017" TargetMode = "External"/>
	<Relationship Id="rId23" Type="http://schemas.openxmlformats.org/officeDocument/2006/relationships/hyperlink" Target="https://login.consultant.ru/link/?req=doc&amp;base=LAW&amp;n=387000&amp;dst=100130" TargetMode = "External"/>
	<Relationship Id="rId24" Type="http://schemas.openxmlformats.org/officeDocument/2006/relationships/hyperlink" Target="https://login.consultant.ru/link/?req=doc&amp;base=LAW&amp;n=387000&amp;dst=100132" TargetMode = "External"/>
	<Relationship Id="rId25" Type="http://schemas.openxmlformats.org/officeDocument/2006/relationships/hyperlink" Target="https://login.consultant.ru/link/?req=doc&amp;base=LAW&amp;n=393734" TargetMode = "External"/>
	<Relationship Id="rId26" Type="http://schemas.openxmlformats.org/officeDocument/2006/relationships/hyperlink" Target="https://login.consultant.ru/link/?req=doc&amp;base=QUEST&amp;n=207370" TargetMode = "External"/>
	<Relationship Id="rId27" Type="http://schemas.openxmlformats.org/officeDocument/2006/relationships/hyperlink" Target="https://login.consultant.ru/link/?req=doc&amp;base=QUEST&amp;n=199979" TargetMode = "External"/>
	<Relationship Id="rId28" Type="http://schemas.openxmlformats.org/officeDocument/2006/relationships/hyperlink" Target="https://login.consultant.ru/link/?req=doc&amp;base=LAW&amp;n=387000&amp;dst=100117" TargetMode = "External"/>
	<Relationship Id="rId29" Type="http://schemas.openxmlformats.org/officeDocument/2006/relationships/hyperlink" Target="https://login.consultant.ru/link/?req=doc&amp;base=LAW&amp;n=387000&amp;dst=100151" TargetMode = "External"/>
	<Relationship Id="rId30" Type="http://schemas.openxmlformats.org/officeDocument/2006/relationships/hyperlink" Target="https://login.consultant.ru/link/?req=doc&amp;base=LAW&amp;n=387000&amp;dst=100152" TargetMode = "External"/>
	<Relationship Id="rId31" Type="http://schemas.openxmlformats.org/officeDocument/2006/relationships/hyperlink" Target="https://login.consultant.ru/link/?req=doc&amp;base=QUEST&amp;n=196572" TargetMode = "External"/>
	<Relationship Id="rId32" Type="http://schemas.openxmlformats.org/officeDocument/2006/relationships/hyperlink" Target="https://login.consultant.ru/link/?req=doc&amp;base=QUEST&amp;n=193889&amp;dst=100013" TargetMode = "External"/>
	<Relationship Id="rId33" Type="http://schemas.openxmlformats.org/officeDocument/2006/relationships/hyperlink" Target="https://login.consultant.ru/link/?req=doc&amp;base=LAW&amp;n=318780" TargetMode = "External"/>
	<Relationship Id="rId34" Type="http://schemas.openxmlformats.org/officeDocument/2006/relationships/hyperlink" Target="https://login.consultant.ru/link/?req=doc&amp;base=LAW&amp;n=338558&amp;dst=100006" TargetMode = "External"/>
	<Relationship Id="rId35" Type="http://schemas.openxmlformats.org/officeDocument/2006/relationships/hyperlink" Target="https://login.consultant.ru/link/?req=doc&amp;base=LAW&amp;n=326866&amp;dst=100015" TargetMode = "External"/>
	<Relationship Id="rId36" Type="http://schemas.openxmlformats.org/officeDocument/2006/relationships/hyperlink" Target="https://login.consultant.ru/link/?req=doc&amp;base=LAW&amp;n=387000&amp;dst=100020" TargetMode = "External"/>
	<Relationship Id="rId37" Type="http://schemas.openxmlformats.org/officeDocument/2006/relationships/hyperlink" Target="https://login.consultant.ru/link/?req=doc&amp;base=LAW&amp;n=387000&amp;dst=100116" TargetMode = "External"/>
	<Relationship Id="rId38" Type="http://schemas.openxmlformats.org/officeDocument/2006/relationships/hyperlink" Target="https://login.consultant.ru/link/?req=doc&amp;base=LAW&amp;n=387000&amp;dst=100140" TargetMode = "External"/>
	<Relationship Id="rId39" Type="http://schemas.openxmlformats.org/officeDocument/2006/relationships/hyperlink" Target="https://login.consultant.ru/link/?req=doc&amp;base=LAW&amp;n=387000&amp;dst=100151" TargetMode = "External"/>
	<Relationship Id="rId40" Type="http://schemas.openxmlformats.org/officeDocument/2006/relationships/hyperlink" Target="https://login.consultant.ru/link/?req=doc&amp;base=LAW&amp;n=387000&amp;dst=100153" TargetMode = "External"/>
	<Relationship Id="rId41" Type="http://schemas.openxmlformats.org/officeDocument/2006/relationships/hyperlink" Target="https://login.consultant.ru/link/?req=doc&amp;base=PPN&amp;n=80&amp;dst=100036" TargetMode = "External"/>
	<Relationship Id="rId42" Type="http://schemas.openxmlformats.org/officeDocument/2006/relationships/hyperlink" Target="https://login.consultant.ru/link/?req=doc&amp;base=LAW&amp;n=417877&amp;dst=2190" TargetMode = "External"/>
	<Relationship Id="rId43" Type="http://schemas.openxmlformats.org/officeDocument/2006/relationships/hyperlink" Target="https://login.consultant.ru/link/?req=doc&amp;base=QUEST&amp;n=206901&amp;dst=100010" TargetMode = "External"/>
	<Relationship Id="rId44" Type="http://schemas.openxmlformats.org/officeDocument/2006/relationships/hyperlink" Target="https://login.consultant.ru/link/?req=doc&amp;base=LAW&amp;n=393734&amp;dst=100006" TargetMode = "External"/>
	<Relationship Id="rId45" Type="http://schemas.openxmlformats.org/officeDocument/2006/relationships/hyperlink" Target="https://login.consultant.ru/link/?req=doc&amp;base=LAW&amp;n=387000&amp;dst=100120" TargetMode = "External"/>
	<Relationship Id="rId46" Type="http://schemas.openxmlformats.org/officeDocument/2006/relationships/hyperlink" Target="https://login.consultant.ru/link/?req=doc&amp;base=LAW&amp;n=387000&amp;dst=100121" TargetMode = "External"/>
	<Relationship Id="rId47" Type="http://schemas.openxmlformats.org/officeDocument/2006/relationships/hyperlink" Target="https://login.consultant.ru/link/?req=doc&amp;base=LAW&amp;n=387000&amp;dst=100092" TargetMode = "External"/>
	<Relationship Id="rId48" Type="http://schemas.openxmlformats.org/officeDocument/2006/relationships/hyperlink" Target="https://login.consultant.ru/link/?req=doc&amp;base=LAW&amp;n=387000&amp;dst=100119" TargetMode = "External"/>
	<Relationship Id="rId49" Type="http://schemas.openxmlformats.org/officeDocument/2006/relationships/hyperlink" Target="https://login.consultant.ru/link/?req=doc&amp;base=LAW&amp;n=387000&amp;dst=100021" TargetMode = "External"/>
	<Relationship Id="rId50" Type="http://schemas.openxmlformats.org/officeDocument/2006/relationships/hyperlink" Target="https://login.consultant.ru/link/?req=doc&amp;base=LAW&amp;n=417877&amp;dst=3750" TargetMode = "External"/>
	<Relationship Id="rId51" Type="http://schemas.openxmlformats.org/officeDocument/2006/relationships/hyperlink" Target="https://login.consultant.ru/link/?req=doc&amp;base=LAW&amp;n=417877&amp;dst=16223" TargetMode = "External"/>
	<Relationship Id="rId52" Type="http://schemas.openxmlformats.org/officeDocument/2006/relationships/hyperlink" Target="https://login.consultant.ru/link/?req=doc&amp;base=PPN&amp;n=107&amp;dst=100005" TargetMode = "External"/>
	<Relationship Id="rId53" Type="http://schemas.openxmlformats.org/officeDocument/2006/relationships/hyperlink" Target="https://login.consultant.ru/link/?req=doc&amp;base=LAW&amp;n=417877&amp;dst=20227" TargetMode = "External"/>
	<Relationship Id="rId54" Type="http://schemas.openxmlformats.org/officeDocument/2006/relationships/hyperlink" Target="https://login.consultant.ru/link/?req=doc&amp;base=LAW&amp;n=417877&amp;dst=20229" TargetMode = "External"/>
	<Relationship Id="rId55" Type="http://schemas.openxmlformats.org/officeDocument/2006/relationships/hyperlink" Target="https://login.consultant.ru/link/?req=doc&amp;base=LAW&amp;n=389974&amp;dst=100116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4022.00.11</Application>
  <Company>КонсультантПлюс Версия 4022.00.11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Готовое решение: Особенности применения специального налогового режима "Налог на профессиональный доход"
(КонсультантПлюс, 2022)</dc:title>
  <dcterms:created xsi:type="dcterms:W3CDTF">2022-06-29T08:38:20Z</dcterms:created>
</cp:coreProperties>
</file>