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Статья: Комментарий к Письму Федеральной налоговой службы от 28.12.2021 N СД-4-3/18371@ &lt;О чеках, которые обязаны выставлять самозанятые&gt;</w:t>
              <w:br/>
              <w:t xml:space="preserve">(Веселов А.В.)</w:t>
              <w:br/>
              <w:t xml:space="preserve">("Нормативные акты для бухгалтера", 2022, N 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29.06.2022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"Нормативные акты для бухгалтера", 2022, N 8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КОММЕНТАРИЙ</w:t>
      </w:r>
    </w:p>
    <w:p>
      <w:pPr>
        <w:pStyle w:val="2"/>
        <w:jc w:val="center"/>
      </w:pPr>
      <w:r>
        <w:rPr>
          <w:sz w:val="20"/>
        </w:rPr>
        <w:t xml:space="preserve">К </w:t>
      </w:r>
      <w:hyperlink w:history="0" r:id="rId7" w:tooltip="Вопрос: Об отдельных вопросах, связанных с применением НПД. (Письмо ФНС России от 28.12.2021 N СД-4-3/18371@) {КонсультантПлюс}">
        <w:r>
          <w:rPr>
            <w:sz w:val="20"/>
            <w:color w:val="0000ff"/>
          </w:rPr>
          <w:t xml:space="preserve">ПИСЬМУ</w:t>
        </w:r>
      </w:hyperlink>
      <w:r>
        <w:rPr>
          <w:sz w:val="20"/>
        </w:rPr>
        <w:t xml:space="preserve"> ФЕДЕРАЛЬНОЙ НАЛОГОВОЙ СЛУЖБЫ</w:t>
      </w:r>
    </w:p>
    <w:p>
      <w:pPr>
        <w:pStyle w:val="2"/>
        <w:jc w:val="center"/>
      </w:pPr>
      <w:r>
        <w:rPr>
          <w:sz w:val="20"/>
        </w:rPr>
        <w:t xml:space="preserve">ОТ 28.12.2021 N СД-4-3/18371@</w:t>
      </w:r>
    </w:p>
    <w:p>
      <w:pPr>
        <w:pStyle w:val="2"/>
        <w:jc w:val="center"/>
      </w:pPr>
      <w:r>
        <w:rPr>
          <w:sz w:val="20"/>
        </w:rPr>
        <w:t xml:space="preserve">&lt;О ЧЕКАХ, КОТОРЫЕ ОБЯЗАНЫ ВЫСТАВЛЯТЬ САМОЗАНЯТЫЕ&gt;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Когда выставлять спецчеки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  <w:highlight w:val="yellow"/>
        </w:rPr>
        <w:t xml:space="preserve">Согласно </w:t>
      </w:r>
      <w:hyperlink w:history="0" r:id="rId8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ч. 1 ст. 14</w:t>
        </w:r>
      </w:hyperlink>
      <w:r>
        <w:rPr>
          <w:sz w:val="20"/>
          <w:highlight w:val="yellow"/>
        </w:rPr>
        <w:t xml:space="preserve"> Федерального закона от 27.11.2018 N 422-ФЗ при получении доходов от реализации товаров (работ, услуг, имущественных прав), являющихся объектом по НПД, самозанятый обязан сформировать чек, обеспечив его передачу покупателю (заказчику). Он может сделать это: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- с использованием мобильного приложения "Мой налог",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- и (или) через уполномоченного оператора электронной площадки,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- и (или) с помощью "поверенной" кредитной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Упомянутый НПА предписывает формировать чек и передавать его контрагенту в момент расчета наличными и (или) с использованием электронных средств платежа. При иных безналичных формах такие действия совершают не позднее 9-го числа месяца, следующего за тем, в котором произведены расчеты.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Отсюда вывод. Самозанятый формирует чек в мобильном приложении "Мой налог" или его веб-версии по каждому расчету с покупателем или заказчиком. Возможность выставления чеков за период (совокупно за неделю или месяц, а не по каждой сделке) законодательством не предусмотрена.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Аналогичную точку зрения налоговики высказывали и в частных разъяснениях. Самозанятый должен отразить доход и сформировать чек на дату поступления денег (в т.ч. аванса). Это вытекает из </w:t>
      </w:r>
      <w:hyperlink w:history="0" r:id="rId9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ч. 1 ст. 7</w:t>
        </w:r>
      </w:hyperlink>
      <w:r>
        <w:rPr>
          <w:sz w:val="20"/>
          <w:highlight w:val="yellow"/>
        </w:rPr>
        <w:t xml:space="preserve"> Закона N 422-ФЗ. А значит, спецрежимнику надо выставить чек контрагенту на каждую полученную от него сумму. В НПД-базу средства попадут в том месяце, когда они пришли к самозанятому.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  <w:highlight w:val="yellow"/>
        </w:rPr>
        <w:t xml:space="preserve">Чиновники добавили, что Инспекция федеральной налоговой службы не позднее 12-го числа месяца, следующего за истекшим, уведомляет самозанятого о сумме налога, подлежащей уплате. Отправить в бюджет НПД надо не позднее 25-го числа указанного месяца по месту ведения своей деятельности.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Правила при аннулировании чека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Будет ли восстановлен налоговый вычет при аннулировании или перевыставлении чека самозанятым? Не "сгорят" ли вычеты в подобной ситуации? Контролеры ответили следующим образом.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Самозанятый вправе скорректировать ранее переданные инспекторам сведения о сумме расчетов, приводящих к завышению налога к уплате. Так можно поступить: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 возврате средств, полученных в счет оплаты (предоплаты) товаров (работ, услуг, имущественных прав);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случае некорректного ввода данных.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этом необходимо указать причины корректировки.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Чиновники сообщили, что при аннулировании чека налоговый вычет (бонус) в размере 10 000 рублей, предусмотренный </w:t>
      </w:r>
      <w:hyperlink w:history="0" r:id="rId10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1 ст. 12</w:t>
        </w:r>
      </w:hyperlink>
      <w:r>
        <w:rPr>
          <w:sz w:val="20"/>
        </w:rPr>
        <w:t xml:space="preserve"> Закона N 422-ФЗ, восстанавливается в онлайн-режиме. Перерасчет НПД по отмененным чекам производится автоматически в период с 9-го по 12-е число месяца, следующего за тем, в котором они были аннулированы.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Если самозанятый вернул вам оплату или аванс, откорректируйте налоговую базу в порядке, предусмотренном для используемого фискального режима (</w:t>
      </w:r>
      <w:hyperlink w:history="0" r:id="rId11" w:tooltip="&lt;Письмо&gt; ФНС России от 20.02.2019 N СД-4-3/2899@ &quot;О применении налога на профессиональный доход&quot; {КонсультантПлюс}">
        <w:r>
          <w:rPr>
            <w:sz w:val="20"/>
            <w:color w:val="0000ff"/>
          </w:rPr>
          <w:t xml:space="preserve">п. 8</w:t>
        </w:r>
      </w:hyperlink>
      <w:r>
        <w:rPr>
          <w:sz w:val="20"/>
        </w:rPr>
        <w:t xml:space="preserve"> Письма ФНС России от 20.02.2019 N СД-4-3/2899@). А если НПДшник аннулировал чек, но деньги не вернул? В такой ситуации у покупателя (заказчика) сохраняется право на признание расходов, если есть чек, соответствующий требованиям </w:t>
      </w:r>
      <w:hyperlink w:history="0" r:id="rId12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ст. 14</w:t>
        </w:r>
      </w:hyperlink>
      <w:r>
        <w:rPr>
          <w:sz w:val="20"/>
        </w:rPr>
        <w:t xml:space="preserve"> Закона N 422-ФЗ. Покупатель (заказчик) может инициировать налоговую проверку этого самозанятого, приложив бумаги, подтверждающие реализацию товаров (работ, услуг) и факт их оплаты (см. </w:t>
      </w:r>
      <w:hyperlink w:history="0" r:id="rId13" w:tooltip="Вопрос: Об учете в целях налогообложения расходов на приобретение товаров (работ, услуг, имущественных прав) у плательщика НПД, аннулировавшего чек без возврата денежных средств покупателю (заказчику). (Письмо ФНС России от 28.10.2021 N ПА-4-20/15213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ФНС России от 28.10.2021 N ПА-4-20/15213@).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О регулировании сферы агрегаторов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Далее специалисты ФНС высказались о стандартах и регламенте работы площадок, агрегирующих самозанятых и предоставляющих услуги по их администрированию.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Операторы электронных площадок и кредитные организации обмениваются с ИФНС информацией, только если они соответствуют требованиям и соблюдают порядок из специальных протоколов. Фискалы сообщили, что на сайте ФНС России в разделе "Налог на профессиональный доход/Информационные материалы" размещены: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протокол информационного обмена;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порядок взаимодействия указанных субъектов с инспекторами;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требования (критерии) к операторам электронных площадок и кредитным организациям.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Как оценить налоговые риски при работе с самозанятыми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Компании (ИП) могут самостоятельно оценить риски совершения налоговых правонарушений, в том числе в части сотрудничества с самозанятыми. В этом помогут </w:t>
      </w:r>
      <w:hyperlink w:history="0" r:id="rId14" w:tooltip="Приказ ФНС России от 30.05.2007 N ММ-3-06/333@ (ред. от 10.05.2012) &quot;Об утверждении Концепции системы планирования выездных налоговых проверок&quot; {КонсультантПлюс}">
        <w:r>
          <w:rPr>
            <w:sz w:val="20"/>
            <w:color w:val="0000ff"/>
          </w:rPr>
          <w:t xml:space="preserve">Критерии</w:t>
        </w:r>
      </w:hyperlink>
      <w:r>
        <w:rPr>
          <w:sz w:val="20"/>
        </w:rPr>
        <w:t xml:space="preserve">, утвержденные Приказом ФНС России от 30.05.2007 N ММ-3-06/333@. Согласно </w:t>
      </w:r>
      <w:hyperlink w:history="0" r:id="rId15" w:tooltip="Приказ ФНС России от 30.05.2007 N ММ-3-06/333@ (ред. от 10.05.2012) &quot;Об утверждении Концепции системы планирования выездных налоговых проверок&quot; {КонсультантПлюс}">
        <w:r>
          <w:rPr>
            <w:sz w:val="20"/>
            <w:color w:val="0000ff"/>
          </w:rPr>
          <w:t xml:space="preserve">12-му критерию</w:t>
        </w:r>
      </w:hyperlink>
      <w:r>
        <w:rPr>
          <w:sz w:val="20"/>
        </w:rPr>
        <w:t xml:space="preserve"> при оценке рисков, которые могут быть связаны с характером взаимоотношений с НПДшниками, ревизоры исследуют определенные признаки: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свидетельствующие о высокой вероятности формального оформления;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указывающие по своей сути на подмену трудовых отношений гражданско-правовыми.</w:t>
      </w:r>
    </w:p>
    <w:p>
      <w:pPr>
        <w:pStyle w:val="0"/>
        <w:spacing w:before="200" w:line-rule="auto"/>
        <w:ind w:firstLine="540"/>
        <w:jc w:val="both"/>
      </w:pPr>
      <w:hyperlink w:history="0" r:id="rId16" w:tooltip="&quot;Налоговый кодекс Российской Федерации (часть первая)&quot; от 31.07.1998 N 146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Статьей 54.1</w:t>
        </w:r>
      </w:hyperlink>
      <w:r>
        <w:rPr>
          <w:sz w:val="20"/>
        </w:rPr>
        <w:t xml:space="preserve"> НК РФ предусмотрены: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конкретные действия налогоплательщика, признаваемые злоупотреблением правами;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условия, которые нужно соблюсти, чтобы учесть расходы и заявить налоговые вычеты по сделкам (операциям).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проверяющих важна самодостаточная работа с использованием необходимых трудовых, производственных и иных ресурсов. Инспекторы же нередко выявляют, что от имени ряда формально самостоятельных субъектов ведется единая деятельность, отвечающая положениям закона.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Лицам, привлекающим самозанятых, будут предъявлены налоговые претензии при выявлении фактов, говорящих о недобросовестных действиях, направленных на неуплату налога.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Контролеры отметили: исчерпывающий перечень документов и обстоятельств деятельности, на основании которых сделки с самозанятыми не могут быть квалифицированы как злоупотребления в порядке </w:t>
      </w:r>
      <w:hyperlink w:history="0" r:id="rId17" w:tooltip="&quot;Налоговый кодекс Российской Федерации (часть первая)&quot; от 31.07.1998 N 146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ст. 54.1</w:t>
        </w:r>
      </w:hyperlink>
      <w:r>
        <w:rPr>
          <w:sz w:val="20"/>
        </w:rPr>
        <w:t xml:space="preserve"> Кодекса, нельзя определить законодательно или какими-либо разъяснениями. Ведь при проведении контрольных мероприятий могут вскрыться факты, говорящие об уходе от налогов, а также об использовании формального документооборота в целях подмены трудовых отношений гражданско-правовыми.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ФНС России напомнила, что рекомендации по налоговому контролю с учетом норм </w:t>
      </w:r>
      <w:hyperlink w:history="0" r:id="rId18" w:tooltip="&quot;Налоговый кодекс Российской Федерации (часть первая)&quot; от 31.07.1998 N 146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ст. 54.1</w:t>
        </w:r>
      </w:hyperlink>
      <w:r>
        <w:rPr>
          <w:sz w:val="20"/>
        </w:rPr>
        <w:t xml:space="preserve"> приведены в </w:t>
      </w:r>
      <w:hyperlink w:history="0" r:id="rId19" w:tooltip="&lt;Письмо&gt; ФНС России от 10.03.2021 N БВ-4-7/3060@ &quot;О практике применения статьи 54.1 Налогового кодекса Российской Федерации&quot; {КонсультантПлюс}">
        <w:r>
          <w:rPr>
            <w:sz w:val="20"/>
            <w:color w:val="0000ff"/>
          </w:rPr>
          <w:t xml:space="preserve">Письме</w:t>
        </w:r>
      </w:hyperlink>
      <w:r>
        <w:rPr>
          <w:sz w:val="20"/>
        </w:rPr>
        <w:t xml:space="preserve"> от 10.03.2021 N БВ-4-7/3060@. В нем, в числе прочего, отмечено, что в оправдательных документах должна содержаться достоверная информация о реальной хозоперации в соответствии с ее действительным экономическим смыслом.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Опасные признаки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ФНС сообщила, что уже готов проект изменений к </w:t>
      </w:r>
      <w:hyperlink w:history="0" r:id="rId20" w:tooltip="Приказ ФНС России от 30.05.2007 N ММ-3-06/333@ (ред. от 10.05.2012) &quot;Об утверждении Концепции системы планирования выездных налоговых проверок&quot; {КонсультантПлюс}">
        <w:r>
          <w:rPr>
            <w:sz w:val="20"/>
            <w:color w:val="0000ff"/>
          </w:rPr>
          <w:t xml:space="preserve">Приказу</w:t>
        </w:r>
      </w:hyperlink>
      <w:r>
        <w:rPr>
          <w:sz w:val="20"/>
        </w:rPr>
        <w:t xml:space="preserve"> от 30.05.2007 N ММ-3-06/333@. В нем - типовые способы получения необоснованной налоговой выгоды при подмене трудовых отношений договорами с самозанятыми. Речь о характерных чертах схем, базирующихся на подобной подмене, направленных на незаконную оптимизацию страховых взносов и налога на доходы физлиц. Вот некоторые из этих признаков: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организационная зависимость спецрежимника от заказчика, то есть: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регистрация физлица в качестве самозанятого - обязательное условие заказчика;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последний распределяет таких лиц по объектам (маршрутам) исходя из производственной необходимости;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он определяет режим труда НПДшника, в том числе продолжительность рабочего дня (смены), время отдыха;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сотрудник заказчика непосредственно руководит самозанятым и контролирует его работу;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инфраструктурная зависимость исполнителя (он выполняет работу, используя только материалы, инструменты и оборудование заказчика);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порядок оплаты услуг самозанятого и их учета аналогичен установленному Трудовым </w:t>
      </w:r>
      <w:hyperlink w:history="0" r:id="rId21" w:tooltip="&quot;Трудовой кодекс Российской Федерации&quot; от 30.12.2001 N 197-ФЗ (ред. от 25.02.2022) (с изм. и доп., вступ. в силу с 01.03.2022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Эти признаки говорят о том, что плательщик НПД фактически лишен предпринимательской самостоятельности.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center"/>
      </w:pPr>
      <w:r>
        <w:rPr>
          <w:sz w:val="20"/>
        </w:rPr>
        <w:t xml:space="preserve">Налоговики не дремлют!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Такие характерные черты подмены трудовых отношений гражданско-правовым договором с самозанятым фискалы приводят не впервые (см. </w:t>
      </w:r>
      <w:hyperlink w:history="0" r:id="rId22" w:tooltip="Вопрос: Об оценке налоговых рисков при выборе контрагентов, в частности при привлечении к выполнению работ граждан, применяющих НПД, и о передаче плательщиком НПД чека покупателю (заказчику). (Письмо ФНС России от 16.09.2021 N АБ-4-20/13183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от 16.09.2021 N АБ-4-20/13183@). Повышенное внимание к этой теме обусловлено участившимися случаями выявления подобных схем. В </w:t>
      </w:r>
      <w:hyperlink w:history="0" r:id="rId23" w:tooltip="&lt;Информация&gt; ФНС России &quot;Гражданско-правовые договоры между работодателями и самозанятыми могут быть переквалифицированы в трудовые&quot; {КонсультантПлюс}">
        <w:r>
          <w:rPr>
            <w:sz w:val="20"/>
            <w:color w:val="0000ff"/>
          </w:rPr>
          <w:t xml:space="preserve">Информации</w:t>
        </w:r>
      </w:hyperlink>
      <w:r>
        <w:rPr>
          <w:sz w:val="20"/>
        </w:rPr>
        <w:t xml:space="preserve"> от 26.11.2019 ФНС России отметила, что нередко граждане, заключившие с фирмами или ИП договоры в качестве самозанятых, в реальности являются их работниками. Работодатели за счет таких схем минимизируют страховые взносы и не исполняют обязанности налогового агента по удержанию и перечислению НДФЛ.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Налоговая служба и Роструд договорились об одновременных проверках данных бизнес-субъектов. При выявлении признаков трудовых отношений им грозят, например: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доначисления НДФЛ и взносов с выплаченных самозанятым сумм, плюс пени и штрафы;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приостановление деятельности на срок до 90 суток (по </w:t>
      </w:r>
      <w:hyperlink w:history="0" r:id="rId24" w:tooltip="&quot;Кодекс Российской Федерации об административных правонарушениях&quot; от 30.12.2001 N 195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ст. 3.12</w:t>
        </w:r>
      </w:hyperlink>
      <w:r>
        <w:rPr>
          <w:sz w:val="20"/>
        </w:rPr>
        <w:t xml:space="preserve"> КоАП РФ).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Отмечено, что при наличии таких признаков работодатель может избежать доначислений, отразив выплаты в пользу самозанятого в отчетности по налогу на доходы физлиц и в РСВ.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контрольных мероприятиях в отношении работодателей в целях выявления фактов неуплаты НДФЛ и страховых взносов подробно рассказало УФНС России по МО в </w:t>
      </w:r>
      <w:hyperlink w:history="0" r:id="rId25" w:tooltip="&lt;Письмо&gt; УФНС России по МО от 27.07.2020 N 10-17/051757@ &quot;О рассмотрении обращения&quot; {КонсультантПлюс}">
        <w:r>
          <w:rPr>
            <w:sz w:val="20"/>
            <w:color w:val="0000ff"/>
          </w:rPr>
          <w:t xml:space="preserve">Письме</w:t>
        </w:r>
      </w:hyperlink>
      <w:r>
        <w:rPr>
          <w:sz w:val="20"/>
        </w:rPr>
        <w:t xml:space="preserve"> от 27.07.2020 N 10-17/051757@. В нем же обращено внимание на то, что у ревизоров есть алгоритм выявления налоговой оптимизации, когда работников подменяют самозанятыми. Он основан на анализе информации из электронной системы: сведения, поступающие от НПДшников, сопоставляются с данными их бывших работодателей. При этом исследуются: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динамика страховых выплат;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среднесписочная численность;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показатели среднеотраслевой налоговой нагрузки;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персональная история трудоустройства самозанятого;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источники и суммы его доходов.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Чуть позже об этом сообщила ФНС в Информации от 23.03.2021. Федералы разработали специальную скоринговую систему, определяющую в режиме реального времени фирмы с признаками подмены трудовых отношений договорами с НПДшниками. В числе прочего изучается: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периодичность и источники выплат;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взаимосвязь самозанятых, их клиентов и бывших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результатам анализа компании с признаками нарушений попадают в группу риска.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ФНС добавила, что фискалы сначала информируют организации о выявленных признаках. Уже на этом этапе около 10% фирм признают вину и добровольно уточняют свои налоговые обязательства. Но немало и тех, кто попал в группу риска, однако после получения информационных писем корректировок не сделал. В отношении таких субъектов ИФНС проводит контрольные мероприятия, как правило, совместно с трудовой инспекцией.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Если в ответ на подобное письмо представить чиновникам пояснения (по каждому из выявленных признаков), таких контрольных мероприятий, возможно, и не последует. Но во избежание неприятностей лучше изначально сторониться при взаимодействии с самозанятыми всего, что характерно для отношений с работниками. Должно четко явствовать, что спецрежимник продает фирме (ИП) не свое рабочее время, а конкретный результат независимой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Имейте в виду, что заключение гражданско-правового договора, фактически регулирующего трудовые отношения, грозит еще и санкциями по </w:t>
      </w:r>
      <w:hyperlink w:history="0" r:id="rId26" w:tooltip="&quot;Кодекс Российской Федерации об административных правонарушениях&quot; от 30.12.2001 N 195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ч. 4 ст. 5.27</w:t>
        </w:r>
      </w:hyperlink>
      <w:r>
        <w:rPr>
          <w:sz w:val="20"/>
        </w:rPr>
        <w:t xml:space="preserve"> КоАП РФ. Должностных лиц могут оштрафовать вплоть до 20 000 руб., ИП - до 10 000 руб., а компанию - до 100 000 руб. за каждый переквалифицированный договор. Рецидивистов накажут строже (</w:t>
      </w:r>
      <w:hyperlink w:history="0" r:id="rId27" w:tooltip="&quot;Кодекс Российской Федерации об административных правонарушениях&quot; от 30.12.2001 N 195-ФЗ (ред. от 26.03.2022) ------------ Недействующая редакция {КонсультантПлюс}">
        <w:r>
          <w:rPr>
            <w:sz w:val="20"/>
            <w:color w:val="0000ff"/>
          </w:rPr>
          <w:t xml:space="preserve">ч. 5 ст. 5.27</w:t>
        </w:r>
      </w:hyperlink>
      <w:r>
        <w:rPr>
          <w:sz w:val="20"/>
        </w:rPr>
        <w:t xml:space="preserve"> КоАП РФ). Кстати, все неустранимые сомнения при рассмотрении судом споров о признании отношений, возникших на основании ГПД, трудовыми толкуются в пользу наличия последних (детали - в </w:t>
      </w:r>
      <w:hyperlink w:history="0" r:id="rId28" w:tooltip="&quot;Трудовой кодекс Российской Федерации&quot; от 30.12.2001 N 197-ФЗ (ред. от 25.02.2022) (с изм. и доп., вступ. в силу с 01.03.2022) {КонсультантПлюс}">
        <w:r>
          <w:rPr>
            <w:sz w:val="20"/>
            <w:color w:val="0000ff"/>
          </w:rPr>
          <w:t xml:space="preserve">ст. 19.1</w:t>
        </w:r>
      </w:hyperlink>
      <w:r>
        <w:rPr>
          <w:sz w:val="20"/>
        </w:rPr>
        <w:t xml:space="preserve"> ТК РФ, </w:t>
      </w:r>
      <w:hyperlink w:history="0" r:id="rId29" w:tooltip="Постановление Пленума Верховного Суда РФ от 29.05.2018 N 15 &quot;О применении судами законодательства, регулирующего труд работников, работающих у работодателей - физических лиц и у работодателей - субъектов малого предпринимательства, которые отнесены к микропредприятиям&quot; {КонсультантПлюс}">
        <w:r>
          <w:rPr>
            <w:sz w:val="20"/>
            <w:color w:val="0000ff"/>
          </w:rPr>
          <w:t xml:space="preserve">п. 17</w:t>
        </w:r>
      </w:hyperlink>
      <w:r>
        <w:rPr>
          <w:sz w:val="20"/>
        </w:rPr>
        <w:t xml:space="preserve"> и </w:t>
      </w:r>
      <w:hyperlink w:history="0" r:id="rId30" w:tooltip="Постановление Пленума Верховного Суда РФ от 29.05.2018 N 15 &quot;О применении судами законодательства, регулирующего труд работников, работающих у работодателей - физических лиц и у работодателей - субъектов малого предпринимательства, которые отнесены к микропредприятиям&quot; {КонсультантПлюс}">
        <w:r>
          <w:rPr>
            <w:sz w:val="20"/>
            <w:color w:val="0000ff"/>
          </w:rPr>
          <w:t xml:space="preserve">24</w:t>
        </w:r>
      </w:hyperlink>
      <w:r>
        <w:rPr>
          <w:sz w:val="20"/>
        </w:rPr>
        <w:t xml:space="preserve"> Постановления Пленума ВС РФ от 29.05.2018 N 15).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Если "трудовые" признаки отсутствуют, ничего криминального в длительном сотрудничестве фирмы с самозанятым ФНС России не видит, причем даже если она - его единственный заказчик (</w:t>
      </w:r>
      <w:hyperlink w:history="0" r:id="rId31" w:tooltip="Вопрос: Об отдельных вопросах, связанных с применением НПД. (Письмо ФНС России от 01.04.2021 N АБ-4-20/4336@) {КонсультантПлюс}">
        <w:r>
          <w:rPr>
            <w:sz w:val="20"/>
            <w:color w:val="0000ff"/>
          </w:rPr>
          <w:t xml:space="preserve">п. 3</w:t>
        </w:r>
      </w:hyperlink>
      <w:r>
        <w:rPr>
          <w:sz w:val="20"/>
        </w:rPr>
        <w:t xml:space="preserve"> Письма от 01.04.2021 N АБ-4-20/4336@).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А.В. Веселов</w:t>
      </w:r>
    </w:p>
    <w:p>
      <w:pPr>
        <w:pStyle w:val="0"/>
        <w:jc w:val="right"/>
      </w:pPr>
      <w:r>
        <w:rPr>
          <w:sz w:val="20"/>
        </w:rPr>
        <w:t xml:space="preserve">Аудитор,</w:t>
      </w:r>
    </w:p>
    <w:p>
      <w:pPr>
        <w:pStyle w:val="0"/>
        <w:jc w:val="right"/>
      </w:pPr>
      <w:r>
        <w:rPr>
          <w:sz w:val="20"/>
        </w:rPr>
        <w:t xml:space="preserve">к. э. н.</w:t>
      </w:r>
    </w:p>
    <w:p>
      <w:pPr>
        <w:pStyle w:val="0"/>
      </w:pPr>
      <w:r>
        <w:rPr>
          <w:sz w:val="20"/>
        </w:rPr>
        <w:t xml:space="preserve">Подписано в печать</w:t>
      </w:r>
    </w:p>
    <w:p>
      <w:pPr>
        <w:pStyle w:val="0"/>
        <w:spacing w:before="200" w:line-rule="auto"/>
      </w:pPr>
      <w:r>
        <w:rPr>
          <w:sz w:val="20"/>
        </w:rPr>
        <w:t xml:space="preserve">15.04.2022</w:t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Статья: Комментарий к Письму Федеральной налоговой службы от 28.12.2021 N СД-4-3/18371@ &lt;О чеках, которые обязаны выстав...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29.06.2022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QUEST&amp;n=209695" TargetMode = "External"/>
	<Relationship Id="rId8" Type="http://schemas.openxmlformats.org/officeDocument/2006/relationships/hyperlink" Target="https://login.consultant.ru/link/?req=doc&amp;base=LAW&amp;n=387000&amp;dst=100117" TargetMode = "External"/>
	<Relationship Id="rId9" Type="http://schemas.openxmlformats.org/officeDocument/2006/relationships/hyperlink" Target="https://login.consultant.ru/link/?req=doc&amp;base=LAW&amp;n=387000&amp;dst=100081" TargetMode = "External"/>
	<Relationship Id="rId10" Type="http://schemas.openxmlformats.org/officeDocument/2006/relationships/hyperlink" Target="https://login.consultant.ru/link/?req=doc&amp;base=LAW&amp;n=387000&amp;dst=100162" TargetMode = "External"/>
	<Relationship Id="rId11" Type="http://schemas.openxmlformats.org/officeDocument/2006/relationships/hyperlink" Target="https://login.consultant.ru/link/?req=doc&amp;base=LAW&amp;n=318780&amp;dst=100054" TargetMode = "External"/>
	<Relationship Id="rId12" Type="http://schemas.openxmlformats.org/officeDocument/2006/relationships/hyperlink" Target="https://login.consultant.ru/link/?req=doc&amp;base=LAW&amp;n=387000&amp;dst=100116" TargetMode = "External"/>
	<Relationship Id="rId13" Type="http://schemas.openxmlformats.org/officeDocument/2006/relationships/hyperlink" Target="https://login.consultant.ru/link/?req=doc&amp;base=QUEST&amp;n=207370" TargetMode = "External"/>
	<Relationship Id="rId14" Type="http://schemas.openxmlformats.org/officeDocument/2006/relationships/hyperlink" Target="https://login.consultant.ru/link/?req=doc&amp;base=LAW&amp;n=129610&amp;dst=100166" TargetMode = "External"/>
	<Relationship Id="rId15" Type="http://schemas.openxmlformats.org/officeDocument/2006/relationships/hyperlink" Target="https://login.consultant.ru/link/?req=doc&amp;base=LAW&amp;n=129610&amp;dst=100215" TargetMode = "External"/>
	<Relationship Id="rId16" Type="http://schemas.openxmlformats.org/officeDocument/2006/relationships/hyperlink" Target="https://login.consultant.ru/link/?req=doc&amp;base=LAW&amp;n=412701&amp;dst=4213" TargetMode = "External"/>
	<Relationship Id="rId17" Type="http://schemas.openxmlformats.org/officeDocument/2006/relationships/hyperlink" Target="https://login.consultant.ru/link/?req=doc&amp;base=LAW&amp;n=412701&amp;dst=4213" TargetMode = "External"/>
	<Relationship Id="rId18" Type="http://schemas.openxmlformats.org/officeDocument/2006/relationships/hyperlink" Target="https://login.consultant.ru/link/?req=doc&amp;base=LAW&amp;n=412701&amp;dst=4213" TargetMode = "External"/>
	<Relationship Id="rId19" Type="http://schemas.openxmlformats.org/officeDocument/2006/relationships/hyperlink" Target="https://login.consultant.ru/link/?req=doc&amp;base=LAW&amp;n=352052&amp;dst=100022" TargetMode = "External"/>
	<Relationship Id="rId20" Type="http://schemas.openxmlformats.org/officeDocument/2006/relationships/hyperlink" Target="https://login.consultant.ru/link/?req=doc&amp;base=LAW&amp;n=129610" TargetMode = "External"/>
	<Relationship Id="rId21" Type="http://schemas.openxmlformats.org/officeDocument/2006/relationships/hyperlink" Target="https://login.consultant.ru/link/?req=doc&amp;base=LAW&amp;n=389182" TargetMode = "External"/>
	<Relationship Id="rId22" Type="http://schemas.openxmlformats.org/officeDocument/2006/relationships/hyperlink" Target="https://login.consultant.ru/link/?req=doc&amp;base=QUEST&amp;n=206708" TargetMode = "External"/>
	<Relationship Id="rId23" Type="http://schemas.openxmlformats.org/officeDocument/2006/relationships/hyperlink" Target="https://login.consultant.ru/link/?req=doc&amp;base=LAW&amp;n=338558" TargetMode = "External"/>
	<Relationship Id="rId24" Type="http://schemas.openxmlformats.org/officeDocument/2006/relationships/hyperlink" Target="https://login.consultant.ru/link/?req=doc&amp;base=LAW&amp;n=412850&amp;dst=512" TargetMode = "External"/>
	<Relationship Id="rId25" Type="http://schemas.openxmlformats.org/officeDocument/2006/relationships/hyperlink" Target="https://login.consultant.ru/link/?req=doc&amp;base=MOB&amp;n=322286" TargetMode = "External"/>
	<Relationship Id="rId26" Type="http://schemas.openxmlformats.org/officeDocument/2006/relationships/hyperlink" Target="https://login.consultant.ru/link/?req=doc&amp;base=LAW&amp;n=412850&amp;dst=7450" TargetMode = "External"/>
	<Relationship Id="rId27" Type="http://schemas.openxmlformats.org/officeDocument/2006/relationships/hyperlink" Target="https://login.consultant.ru/link/?req=doc&amp;base=LAW&amp;n=412850&amp;dst=7452" TargetMode = "External"/>
	<Relationship Id="rId28" Type="http://schemas.openxmlformats.org/officeDocument/2006/relationships/hyperlink" Target="https://login.consultant.ru/link/?req=doc&amp;base=LAW&amp;n=389182&amp;dst=102493" TargetMode = "External"/>
	<Relationship Id="rId29" Type="http://schemas.openxmlformats.org/officeDocument/2006/relationships/hyperlink" Target="https://login.consultant.ru/link/?req=doc&amp;base=LAW&amp;n=299109&amp;dst=100055" TargetMode = "External"/>
	<Relationship Id="rId30" Type="http://schemas.openxmlformats.org/officeDocument/2006/relationships/hyperlink" Target="https://login.consultant.ru/link/?req=doc&amp;base=LAW&amp;n=299109&amp;dst=100073" TargetMode = "External"/>
	<Relationship Id="rId31" Type="http://schemas.openxmlformats.org/officeDocument/2006/relationships/hyperlink" Target="https://login.consultant.ru/link/?req=doc&amp;base=QUEST&amp;n=204692&amp;dst=100018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4022.00.11</Application>
  <Company>КонсультантПлюс Версия 4022.00.11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Статья: Комментарий к Письму Федеральной налоговой службы от 28.12.2021 N СД-4-3/18371@ &lt;О чеках, которые обязаны выставлять самозанятые&gt;
(Веселов А.В.)
("Нормативные акты для бухгалтера", 2022, N 8)</dc:title>
  <dcterms:created xsi:type="dcterms:W3CDTF">2022-06-29T08:32:14Z</dcterms:created>
</cp:coreProperties>
</file>