
<file path=[Content_Types].xml><?xml version="1.0" encoding="utf-8"?>
<Types xmlns="http://schemas.openxmlformats.org/package/2006/content-types">
  <Default Extension="png" ContentType="image/png"/>
  <Default Extension="jpeg" ContentType="image/jpeg"/>
  <Default Extension="bmp" ContentType="image/bmp"/>
  <Default Extension="rels" ContentType="application/vnd.openxmlformats-package.relationships+xml"/>
  <Default Extension="xml" ContentType="application/xml"/>
  <Default Extension="emf" ContentType="image/x-emf"/>
  <Default Extension="wmf" ContentType="image/x-wmf"/>
  <Override PartName="/word/document.xml" ContentType="application/vnd.openxmlformats-officedocument.wordprocessingml.document.main+xml"/>
  <Override PartName="/docProps/core.xml" ContentType="application/vnd.openxmlformats-package.core-properties+xml"/>
  <Override PartName="/docProps/app.xml" ContentType="application/vnd.openxmlformats-officedocument.extended-properties+xml"/>
  <Override PartName="/word/styles.xml" ContentType="application/vnd.openxmlformats-officedocument.wordprocessingml.styl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Types>
</file>

<file path=_rels/.rels>&#65279;<?xml version="1.0" encoding="UTF-8" standalone="yes"?>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pPr>
        <w:pStyle w:val="0"/>
        <w:outlineLvl w:val="0"/>
        <w:jc w:val="both"/>
      </w:pPr>
      <w:r>
        <w:rPr>
          <w:sz w:val="20"/>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right"/>
            </w:pPr>
            <w:r>
              <w:rPr>
                <w:sz w:val="20"/>
                <w:color w:val="392c69"/>
                <w:b w:val="on"/>
              </w:rPr>
              <w:t xml:space="preserve">Актуально на 28.06.2022</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460" w:line-rule="auto"/>
      </w:pPr>
      <w:r>
        <w:rPr>
          <w:sz w:val="36"/>
          <w:b w:val="on"/>
        </w:rPr>
        <w:t xml:space="preserve">Как организации документально оформить расчеты с самозанятым гражданином для целей подтверждения расходов по налогу на прибыль?</w:t>
      </w:r>
    </w:p>
    <w:p>
      <w:pPr>
        <w:pStyle w:val="0"/>
        <w:jc w:val="both"/>
      </w:pPr>
      <w:r>
        <w:rPr>
          <w:sz w:val="36"/>
        </w:rPr>
      </w:r>
    </w:p>
    <w:tbl>
      <w:tblPr>
        <w:tblInd w:w="0" w:type="dxa"/>
        <w:tblW w:w="5000" w:type="pct"/>
        <w:tblBorders>
          <w:top w:val="nil"/>
          <w:left w:val="nil"/>
          <w:bottom w:val="nil"/>
          <w:right w:val="nil"/>
          <w:insideV w:val="nil"/>
          <w:insideH w:val="nil"/>
        </w:tblBorders>
      </w:tblPr>
      <w:tblGrid>
        <w:gridCol w:w="60"/>
        <w:gridCol w:w="180"/>
        <w:gridCol w:w="9847"/>
        <w:gridCol w:w="180"/>
      </w:tblGrid>
      <w:tr>
        <w:tc>
          <w:tcPr>
            <w:tcW w:w="60" w:type="dxa"/>
            <w:tcMar>
              <w:top w:w="0" w:type="dxa"/>
              <w:left w:w="0" w:type="dxa"/>
              <w:bottom w:w="0" w:type="dxa"/>
              <w:right w:w="0" w:type="dxa"/>
            </w:tcMar>
            <w:shd w:val="clear" w:fill="fe9500"/>
            <w:tcBorders>
              <w:top w:val="nil"/>
              <w:left w:val="nil"/>
              <w:bottom w:val="nil"/>
              <w:right w:val="nil"/>
            </w:tcBorders>
          </w:tcPr>
          <w:p/>
        </w:tc>
        <w:tc>
          <w:tcPr>
            <w:tcW w:w="180" w:type="dxa"/>
            <w:tcMar>
              <w:top w:w="0" w:type="dxa"/>
              <w:left w:w="0" w:type="dxa"/>
              <w:bottom w:w="0" w:type="dxa"/>
              <w:right w:w="0" w:type="dxa"/>
            </w:tcMar>
            <w:shd w:val="clear" w:fill="f2f4e6"/>
            <w:tcBorders>
              <w:top w:val="nil"/>
              <w:left w:val="nil"/>
              <w:bottom w:val="nil"/>
              <w:right w:val="nil"/>
            </w:tcBorders>
          </w:tcPr>
          <w:p/>
        </w:tc>
        <w:tc>
          <w:tcPr>
            <w:tcW w:w="0" w:type="auto"/>
            <w:tcMar>
              <w:top w:w="180" w:type="dxa"/>
              <w:left w:w="0" w:type="dxa"/>
              <w:bottom w:w="180" w:type="dxa"/>
              <w:right w:w="0" w:type="dxa"/>
            </w:tcMar>
            <w:shd w:val="clear" w:fill="f2f4e6"/>
            <w:tcBorders>
              <w:top w:val="nil"/>
              <w:left w:val="nil"/>
              <w:bottom w:val="nil"/>
              <w:right w:val="nil"/>
            </w:tcBorders>
          </w:tcPr>
          <w:p>
            <w:pPr>
              <w:pStyle w:val="0"/>
              <w:jc w:val="both"/>
            </w:pPr>
            <w:r>
              <w:rPr>
                <w:sz w:val="20"/>
              </w:rPr>
              <w:t xml:space="preserve">Расходы по налогу на прибыль при расчетах с самозанятыми - плательщиками НПД подтверждаются чеками и актами выполненных работ (оказанных услуг).</w:t>
            </w:r>
          </w:p>
        </w:tc>
        <w:tc>
          <w:tcPr>
            <w:tcW w:w="180" w:type="dxa"/>
            <w:tcMar>
              <w:top w:w="0" w:type="dxa"/>
              <w:left w:w="0" w:type="dxa"/>
              <w:bottom w:w="0" w:type="dxa"/>
              <w:right w:w="0" w:type="dxa"/>
            </w:tcMar>
            <w:shd w:val="clear" w:fill="f2f4e6"/>
            <w:tcBorders>
              <w:top w:val="nil"/>
              <w:left w:val="nil"/>
              <w:bottom w:val="nil"/>
              <w:right w:val="nil"/>
            </w:tcBorders>
          </w:tcPr>
          <w:p/>
        </w:tc>
      </w:tr>
    </w:tbl>
    <w:p>
      <w:pPr>
        <w:pStyle w:val="0"/>
        <w:spacing w:before="260" w:line-rule="auto"/>
        <w:jc w:val="both"/>
      </w:pPr>
      <w:r>
        <w:rPr>
          <w:sz w:val="20"/>
        </w:rPr>
        <w:t xml:space="preserve">Федеральным </w:t>
      </w:r>
      <w:hyperlink w:history="0" r:id="rId6" w:tooltip="Федеральный закон от 27.11.2018 N 422-ФЗ (ред. от 02.07.2021) &quot;О проведении эксперимента по установлению специального налогового режима &quot;Налог на профессиональный доход&quot; (с изм. и доп., вступ. в силу с 01.01.2022) {КонсультантПлюс}">
        <w:r>
          <w:rPr>
            <w:sz w:val="20"/>
            <w:color w:val="0000ff"/>
          </w:rPr>
          <w:t xml:space="preserve">законом</w:t>
        </w:r>
      </w:hyperlink>
      <w:r>
        <w:rPr>
          <w:sz w:val="20"/>
        </w:rPr>
        <w:t xml:space="preserve"> от 27.11.2018 N 422-ФЗ (далее - Закон N 422-ФЗ) введен специальный налоговый режим "Налог на профессиональный доход".</w:t>
      </w:r>
    </w:p>
    <w:p>
      <w:pPr>
        <w:pStyle w:val="0"/>
        <w:spacing w:before="200" w:line-rule="auto"/>
        <w:jc w:val="both"/>
      </w:pPr>
      <w:r>
        <w:rPr>
          <w:sz w:val="20"/>
        </w:rPr>
        <w:t xml:space="preserve">Профессиональный доход - доход физических лиц от деятельности, при ведении которой они не имеют работодателя и не привлекают наемных работников по трудовым договорам, а также доход от использования имущества (</w:t>
      </w:r>
      <w:hyperlink w:history="0" r:id="rId7" w:tooltip="Федеральный закон от 27.11.2018 N 422-ФЗ (ред. от 02.07.2021) &quot;О проведении эксперимента по установлению специального налогового режима &quot;Налог на профессиональный доход&quot; (с изм. и доп., вступ. в силу с 01.01.2022) {КонсультантПлюс}">
        <w:r>
          <w:rPr>
            <w:sz w:val="20"/>
            <w:color w:val="0000ff"/>
          </w:rPr>
          <w:t xml:space="preserve">ч. 7 ст. 2</w:t>
        </w:r>
      </w:hyperlink>
      <w:r>
        <w:rPr>
          <w:sz w:val="20"/>
        </w:rPr>
        <w:t xml:space="preserve"> Закона N 422-ФЗ).</w:t>
      </w:r>
    </w:p>
    <w:p>
      <w:pPr>
        <w:pStyle w:val="0"/>
        <w:spacing w:before="200" w:line-rule="auto"/>
        <w:jc w:val="both"/>
      </w:pPr>
      <w:r>
        <w:rPr>
          <w:sz w:val="20"/>
        </w:rPr>
        <w:t xml:space="preserve">Сделки могут совершаться устно или в письменной форме (простой или нотариальной) (</w:t>
      </w:r>
      <w:hyperlink w:history="0" r:id="rId8" w:tooltip="&quot;Гражданский кодекс Российской Федерации (часть первая)&quot; от 30.11.1994 N 51-ФЗ (ред. от 25.02.2022) {КонсультантПлюс}">
        <w:r>
          <w:rPr>
            <w:sz w:val="20"/>
            <w:color w:val="0000ff"/>
          </w:rPr>
          <w:t xml:space="preserve">п. 1 ст. 158</w:t>
        </w:r>
      </w:hyperlink>
      <w:r>
        <w:rPr>
          <w:sz w:val="20"/>
        </w:rPr>
        <w:t xml:space="preserve"> ГК РФ).</w:t>
      </w:r>
    </w:p>
    <w:p>
      <w:pPr>
        <w:pStyle w:val="0"/>
        <w:spacing w:before="200" w:line-rule="auto"/>
        <w:jc w:val="both"/>
      </w:pPr>
      <w:r>
        <w:rPr>
          <w:sz w:val="20"/>
        </w:rPr>
        <w:t xml:space="preserve">При заключении сделок между организациями и самозанятыми физлицами, применяющими специальный налоговый режим "Налог на профессиональный доход", может оформляться гражданско-правовой договор. Если сделка исполняется немедленно, заключение договора в письменной форме не требуется. Факт заключения договора подтверждается уплатой соответствующей суммы самозанятому лицу.</w:t>
      </w:r>
    </w:p>
    <w:p>
      <w:pPr>
        <w:pStyle w:val="0"/>
        <w:spacing w:before="200" w:line-rule="auto"/>
        <w:jc w:val="both"/>
      </w:pPr>
      <w:r>
        <w:rPr>
          <w:sz w:val="20"/>
        </w:rPr>
        <w:t xml:space="preserve">Документом, подтверждающим произведенные организацией-заказчиком затраты, является чек. В нем должны быть указаны в том числе наименование реализуемых товаров, выполненных работ, оказанных услуг и ИНН заказчика (</w:t>
      </w:r>
      <w:hyperlink w:history="0" r:id="rId9" w:tooltip="&quot;Налоговый кодекс Российской Федерации (часть вторая)&quot; от 05.08.2000 N 117-ФЗ (ред. от 28.05.2022) {КонсультантПлюс}">
        <w:r>
          <w:rPr>
            <w:sz w:val="20"/>
            <w:color w:val="0000ff"/>
          </w:rPr>
          <w:t xml:space="preserve">п. 1 ст. 252</w:t>
        </w:r>
      </w:hyperlink>
      <w:r>
        <w:rPr>
          <w:sz w:val="20"/>
        </w:rPr>
        <w:t xml:space="preserve"> НК РФ, </w:t>
      </w:r>
      <w:hyperlink w:history="0" r:id="rId10" w:tooltip="Федеральный закон от 27.11.2018 N 422-ФЗ (ред. от 02.07.2021) &quot;О проведении эксперимента по установлению специального налогового режима &quot;Налог на профессиональный доход&quot; (с изм. и доп., вступ. в силу с 01.01.2022) {КонсультантПлюс}">
        <w:r>
          <w:rPr>
            <w:sz w:val="20"/>
            <w:color w:val="0000ff"/>
          </w:rPr>
          <w:t xml:space="preserve">п. п. 6</w:t>
        </w:r>
      </w:hyperlink>
      <w:r>
        <w:rPr>
          <w:sz w:val="20"/>
        </w:rPr>
        <w:t xml:space="preserve">, </w:t>
      </w:r>
      <w:hyperlink w:history="0" r:id="rId11" w:tooltip="Федеральный закон от 27.11.2018 N 422-ФЗ (ред. от 02.07.2021) &quot;О проведении эксперимента по установлению специального налогового режима &quot;Налог на профессиональный доход&quot; (с изм. и доп., вступ. в силу с 01.01.2022) {КонсультантПлюс}">
        <w:r>
          <w:rPr>
            <w:sz w:val="20"/>
            <w:color w:val="0000ff"/>
          </w:rPr>
          <w:t xml:space="preserve">8 ч. 6 ст. 14</w:t>
        </w:r>
      </w:hyperlink>
      <w:r>
        <w:rPr>
          <w:sz w:val="20"/>
        </w:rPr>
        <w:t xml:space="preserve"> Закона N 422-ФЗ, </w:t>
      </w:r>
      <w:hyperlink w:history="0" r:id="rId12" w:tooltip="&lt;Письмо&gt; ФНС России от 20.02.2019 N СД-4-3/2899@ &quot;О применении налога на профессиональный доход&quot; {КонсультантПлюс}">
        <w:r>
          <w:rPr>
            <w:sz w:val="20"/>
            <w:color w:val="0000ff"/>
          </w:rPr>
          <w:t xml:space="preserve">п. 2</w:t>
        </w:r>
      </w:hyperlink>
      <w:r>
        <w:rPr>
          <w:sz w:val="20"/>
        </w:rPr>
        <w:t xml:space="preserve"> Письма ФНС России от 20.02.2019 N СД-4-3/2899@).</w:t>
      </w:r>
    </w:p>
    <w:p>
      <w:pPr>
        <w:pStyle w:val="0"/>
        <w:spacing w:before="200" w:line-rule="auto"/>
        <w:jc w:val="both"/>
      </w:pPr>
      <w:r>
        <w:rPr>
          <w:sz w:val="20"/>
        </w:rPr>
        <w:t xml:space="preserve">Организации, являющиеся плательщиками налога на прибыль, при определении налоговой базы не учитывают расходы, связанные с приобретением товаров (работ, услуг, имущественных прав) у физических лиц, являющихся плательщиками НПД, при отсутствии чека, сформированного продавцом (исполнителем) в порядке, предусмотренном </w:t>
      </w:r>
      <w:hyperlink w:history="0" r:id="rId13" w:tooltip="Федеральный закон от 27.11.2018 N 422-ФЗ (ред. от 02.07.2021) &quot;О проведении эксперимента по установлению специального налогового режима &quot;Налог на профессиональный доход&quot; (с изм. и доп., вступ. в силу с 01.01.2022) {КонсультантПлюс}">
        <w:r>
          <w:rPr>
            <w:sz w:val="20"/>
            <w:color w:val="0000ff"/>
          </w:rPr>
          <w:t xml:space="preserve">ст. 14</w:t>
        </w:r>
      </w:hyperlink>
      <w:r>
        <w:rPr>
          <w:sz w:val="20"/>
        </w:rPr>
        <w:t xml:space="preserve"> Закона N 422-ФЗ (</w:t>
      </w:r>
      <w:hyperlink w:history="0" r:id="rId14" w:tooltip="Федеральный закон от 27.11.2018 N 422-ФЗ (ред. от 02.07.2021) &quot;О проведении эксперимента по установлению специального налогового режима &quot;Налог на профессиональный доход&quot; (с изм. и доп., вступ. в силу с 01.01.2022) {КонсультантПлюс}">
        <w:r>
          <w:rPr>
            <w:sz w:val="20"/>
            <w:color w:val="0000ff"/>
          </w:rPr>
          <w:t xml:space="preserve">ч. 8 ст. 15</w:t>
        </w:r>
      </w:hyperlink>
      <w:r>
        <w:rPr>
          <w:sz w:val="20"/>
        </w:rPr>
        <w:t xml:space="preserve"> Закона N 422-ФЗ).</w:t>
      </w:r>
    </w:p>
    <w:p>
      <w:pPr>
        <w:pStyle w:val="0"/>
        <w:spacing w:before="200" w:line-rule="auto"/>
        <w:jc w:val="both"/>
      </w:pPr>
      <w:r>
        <w:rPr>
          <w:sz w:val="20"/>
        </w:rPr>
        <w:t xml:space="preserve">При произведении расчетов, связанных с получением доходов от реализации товаров (работ, услуг, имущественных прав), являющихся объектом налогообложения, плательщик НПД обязан с использованием мобильного приложения "Мой налог" и (или) через уполномоченного оператора электронной площадки и (или) уполномоченную кредитную организацию передать сведения о произведенных расчетах в налоговый орган, сформировать чек и обеспечить его передачу покупателю (заказчику), если иное не предусмотрено Законом N 422-ФЗ (</w:t>
      </w:r>
      <w:hyperlink w:history="0" r:id="rId15" w:tooltip="Федеральный закон от 27.11.2018 N 422-ФЗ (ред. от 02.07.2021) &quot;О проведении эксперимента по установлению специального налогового режима &quot;Налог на профессиональный доход&quot; (с изм. и доп., вступ. в силу с 01.01.2022) {КонсультантПлюс}">
        <w:r>
          <w:rPr>
            <w:sz w:val="20"/>
            <w:color w:val="0000ff"/>
          </w:rPr>
          <w:t xml:space="preserve">ч. 1 ст. 14</w:t>
        </w:r>
      </w:hyperlink>
      <w:r>
        <w:rPr>
          <w:sz w:val="20"/>
        </w:rPr>
        <w:t xml:space="preserve"> Закона N 422-ФЗ, </w:t>
      </w:r>
      <w:hyperlink w:history="0" r:id="rId16" w:tooltip="Приказ ФНС России от 14.02.2022 N ЕД-7-20/106@ &quot;Об утверждении Порядка использования мобильного приложения &quot;Мой налог&quot; {КонсультантПлюс}">
        <w:r>
          <w:rPr>
            <w:sz w:val="20"/>
            <w:color w:val="0000ff"/>
          </w:rPr>
          <w:t xml:space="preserve">разд. IV</w:t>
        </w:r>
      </w:hyperlink>
      <w:r>
        <w:rPr>
          <w:sz w:val="20"/>
        </w:rPr>
        <w:t xml:space="preserve"> Порядка использования мобильного приложения "Мой налог", утв. Приказом ФНС России от 14.02.2022 N ЕД-7-20/106@).</w:t>
      </w:r>
    </w:p>
    <w:p>
      <w:pPr>
        <w:pStyle w:val="0"/>
        <w:spacing w:before="200" w:line-rule="auto"/>
        <w:jc w:val="both"/>
      </w:pPr>
      <w:r>
        <w:rPr>
          <w:sz w:val="20"/>
        </w:rPr>
        <w:t xml:space="preserve">Чек должен быть сформирован и передан покупателю (заказчику) в момент расчета наличными денежными средствами и (или) с использованием электронных средств платежа. При иных формах денежных расчетов в безналичном порядке чек должен быть сформирован и передан покупателю (заказчику) не позднее 9-го числа месяца, следующего за налоговым периодом, в котором произведены расчеты.</w:t>
      </w:r>
    </w:p>
    <w:p>
      <w:pPr>
        <w:pStyle w:val="0"/>
        <w:spacing w:before="200" w:line-rule="auto"/>
        <w:jc w:val="both"/>
      </w:pPr>
      <w:r>
        <w:rPr>
          <w:sz w:val="20"/>
        </w:rPr>
        <w:t xml:space="preserve">Чек может быть передан покупателю (заказчику) в электронной форме или на бумажном носителе (</w:t>
      </w:r>
      <w:hyperlink w:history="0" r:id="rId17" w:tooltip="Федеральный закон от 27.11.2018 N 422-ФЗ (ред. от 02.07.2021) &quot;О проведении эксперимента по установлению специального налогового режима &quot;Налог на профессиональный доход&quot; (с изм. и доп., вступ. в силу с 01.01.2022) {КонсультантПлюс}">
        <w:r>
          <w:rPr>
            <w:sz w:val="20"/>
            <w:color w:val="0000ff"/>
          </w:rPr>
          <w:t xml:space="preserve">ч. 3</w:t>
        </w:r>
      </w:hyperlink>
      <w:r>
        <w:rPr>
          <w:sz w:val="20"/>
        </w:rPr>
        <w:t xml:space="preserve">, </w:t>
      </w:r>
      <w:hyperlink w:history="0" r:id="rId18" w:tooltip="Федеральный закон от 27.11.2018 N 422-ФЗ (ред. от 02.07.2021) &quot;О проведении эксперимента по установлению специального налогового режима &quot;Налог на профессиональный доход&quot; (с изм. и доп., вступ. в силу с 01.01.2022) {КонсультантПлюс}">
        <w:r>
          <w:rPr>
            <w:sz w:val="20"/>
            <w:color w:val="0000ff"/>
          </w:rPr>
          <w:t xml:space="preserve">4 ст. 14</w:t>
        </w:r>
      </w:hyperlink>
      <w:r>
        <w:rPr>
          <w:sz w:val="20"/>
        </w:rPr>
        <w:t xml:space="preserve"> Закона N 422-ФЗ).</w:t>
      </w:r>
    </w:p>
    <w:p>
      <w:pPr>
        <w:pStyle w:val="0"/>
        <w:spacing w:before="200" w:line-rule="auto"/>
        <w:jc w:val="both"/>
      </w:pPr>
      <w:r>
        <w:rPr>
          <w:sz w:val="20"/>
        </w:rPr>
        <w:t xml:space="preserve">Следует отметить, что выдача чека для плательщика НПД обязательна как в случае внесения предоплаты, так и при окончательном расчете за товары, работы, услуги.</w:t>
      </w:r>
    </w:p>
    <w:p>
      <w:pPr>
        <w:pStyle w:val="0"/>
        <w:spacing w:before="200" w:line-rule="auto"/>
        <w:jc w:val="both"/>
      </w:pPr>
      <w:r>
        <w:rPr>
          <w:sz w:val="20"/>
        </w:rPr>
        <w:t xml:space="preserve">В целях налога на прибыль денежные средства, внесенные налогоплательщиком, применяющим метод начисления, в качестве предоплаты, не учитываются (</w:t>
      </w:r>
      <w:hyperlink w:history="0" r:id="rId19" w:tooltip="&quot;Налоговый кодекс Российской Федерации (часть вторая)&quot; от 05.08.2000 N 117-ФЗ (ред. от 28.05.2022) {КонсультантПлюс}">
        <w:r>
          <w:rPr>
            <w:sz w:val="20"/>
            <w:color w:val="0000ff"/>
          </w:rPr>
          <w:t xml:space="preserve">п. 14 ст. 270</w:t>
        </w:r>
      </w:hyperlink>
      <w:r>
        <w:rPr>
          <w:sz w:val="20"/>
        </w:rPr>
        <w:t xml:space="preserve"> НК РФ).</w:t>
      </w:r>
    </w:p>
    <w:p>
      <w:pPr>
        <w:pStyle w:val="0"/>
        <w:spacing w:before="200" w:line-rule="auto"/>
        <w:jc w:val="both"/>
      </w:pPr>
      <w:r>
        <w:rPr>
          <w:sz w:val="20"/>
        </w:rPr>
        <w:t xml:space="preserve">Относительно подтверждения расходов в целях налога на прибыль чеком, сформированным налогоплательщиком НПД, Минфин России разъяснил, что если законодательство РФ обязывает налогоплательщика при совершении операций оформлять определенный вид документа, то наличие такого документа обязательно для документального подтверждения расходов (</w:t>
      </w:r>
      <w:hyperlink w:history="0" r:id="rId20" w:tooltip="Вопрос: О подтверждении расходов в целях налога на прибыль чеком, сформированным налогоплательщиком НПД. (Письмо Минфина России от 22.09.2021 N 03-11-11/76769) {КонсультантПлюс}">
        <w:r>
          <w:rPr>
            <w:sz w:val="20"/>
            <w:color w:val="0000ff"/>
          </w:rPr>
          <w:t xml:space="preserve">Письмо</w:t>
        </w:r>
      </w:hyperlink>
      <w:r>
        <w:rPr>
          <w:sz w:val="20"/>
        </w:rPr>
        <w:t xml:space="preserve"> Минфина России от 22.09.2021 N 03-11-11/76769).</w:t>
      </w:r>
    </w:p>
    <w:p>
      <w:pPr>
        <w:pStyle w:val="0"/>
        <w:spacing w:before="200" w:line-rule="auto"/>
        <w:jc w:val="both"/>
      </w:pPr>
      <w:r>
        <w:rPr>
          <w:sz w:val="20"/>
          <w:highlight w:val="yellow"/>
        </w:rPr>
        <w:t xml:space="preserve">Таким образом, для организаций наличие чека, сформированного плательщиком НПД (продавцом, исполнителем), является обязательным для учета расходов при определении налоговой базы по налогу на прибыль.</w:t>
      </w:r>
    </w:p>
    <w:p>
      <w:pPr>
        <w:pStyle w:val="0"/>
        <w:spacing w:before="200" w:line-rule="auto"/>
        <w:jc w:val="both"/>
      </w:pPr>
      <w:r>
        <w:rPr>
          <w:sz w:val="20"/>
          <w:highlight w:val="yellow"/>
        </w:rPr>
        <w:t xml:space="preserve">В качестве обязательных реквизитов такого чека </w:t>
      </w:r>
      <w:hyperlink w:history="0" r:id="rId21" w:tooltip="Федеральный закон от 27.11.2018 N 422-ФЗ (ред. от 02.07.2021) &quot;О проведении эксперимента по установлению специального налогового режима &quot;Налог на профессиональный доход&quot; (с изм. и доп., вступ. в силу с 01.01.2022) {КонсультантПлюс}">
        <w:r>
          <w:rPr>
            <w:sz w:val="20"/>
            <w:color w:val="0000ff"/>
            <w:highlight w:val="yellow"/>
          </w:rPr>
          <w:t xml:space="preserve">ч. 6 ст. 14</w:t>
        </w:r>
      </w:hyperlink>
      <w:r>
        <w:rPr>
          <w:sz w:val="20"/>
          <w:highlight w:val="yellow"/>
        </w:rPr>
        <w:t xml:space="preserve"> Закона N 422-ФЗ установлены в том числе дата и время осуществления расчета, наименования реализуемых товаров, выполненных работ, оказанных услуг.</w:t>
      </w:r>
    </w:p>
    <w:p>
      <w:pPr>
        <w:pStyle w:val="0"/>
        <w:spacing w:before="200" w:line-rule="auto"/>
        <w:jc w:val="both"/>
      </w:pPr>
      <w:r>
        <w:rPr>
          <w:sz w:val="20"/>
          <w:highlight w:val="yellow"/>
        </w:rPr>
        <w:t xml:space="preserve">Кроме того, для налогового учета расходов покупателя (например, при наличии предоплаты) акт о выполнении работ (оказании услуг) необходим. Он является документом, подтверждающим факт их исполнения, а также отражает период или дату их оказания (</w:t>
      </w:r>
      <w:hyperlink w:history="0" r:id="rId22" w:tooltip="&lt;Информация&gt; ФНС России &quot;Обязательно ли компании подписывать акт о выполнении работ с самозанятым&quot; {КонсультантПлюс}">
        <w:r>
          <w:rPr>
            <w:sz w:val="20"/>
            <w:color w:val="0000ff"/>
            <w:highlight w:val="yellow"/>
          </w:rPr>
          <w:t xml:space="preserve">Информация</w:t>
        </w:r>
      </w:hyperlink>
      <w:r>
        <w:rPr>
          <w:sz w:val="20"/>
          <w:highlight w:val="yellow"/>
        </w:rPr>
        <w:t xml:space="preserve"> ФНС России).</w:t>
      </w:r>
    </w:p>
    <w:p>
      <w:pPr>
        <w:pStyle w:val="0"/>
        <w:spacing w:before="200" w:line-rule="auto"/>
        <w:jc w:val="both"/>
      </w:pPr>
      <w:r>
        <w:rPr>
          <w:sz w:val="20"/>
          <w:highlight w:val="yellow"/>
        </w:rPr>
        <w:t xml:space="preserve">Также следует учитывать, что если организация работает с плательщиком НПД через агента, то чек плательщика НПД, сформированный и выданный агенту, не является достаточным основанием для подтверждения расходов организации на возмещение затрат такому агенту. В данном случае требуются также документы, подтверждающие, что услуги оказаны через посредника. Такими документами могут быть в том числе агентский договор, акты выполненных работ (</w:t>
      </w:r>
      <w:hyperlink w:history="0" r:id="rId23" w:tooltip="Вопрос: О возможности подтверждения организацией-заказчиком расходов на оплату услуг исполнителя, применяющего НПД, выданным им чеком. (Письмо ФНС России от 30.10.2020 N АБ-4-20/17902@) {КонсультантПлюс}">
        <w:r>
          <w:rPr>
            <w:sz w:val="20"/>
            <w:color w:val="0000ff"/>
            <w:highlight w:val="yellow"/>
          </w:rPr>
          <w:t xml:space="preserve">Письмо</w:t>
        </w:r>
      </w:hyperlink>
      <w:r>
        <w:rPr>
          <w:sz w:val="20"/>
          <w:highlight w:val="yellow"/>
        </w:rPr>
        <w:t xml:space="preserve"> ФНС России от 30.10.2020 N АБ-4-20/17902@).</w:t>
      </w:r>
    </w:p>
    <w:p>
      <w:pPr>
        <w:pStyle w:val="0"/>
        <w:jc w:val="both"/>
      </w:pPr>
      <w:r>
        <w:rPr>
          <w:sz w:val="20"/>
        </w:rPr>
      </w:r>
    </w:p>
    <w:p>
      <w:pPr>
        <w:pStyle w:val="0"/>
        <w:jc w:val="right"/>
      </w:pPr>
      <w:r>
        <w:rPr>
          <w:sz w:val="20"/>
        </w:rPr>
        <w:t xml:space="preserve">Подготовлено на основе материала</w:t>
      </w:r>
    </w:p>
    <w:p>
      <w:pPr>
        <w:pStyle w:val="0"/>
        <w:jc w:val="right"/>
      </w:pPr>
      <w:r>
        <w:rPr>
          <w:sz w:val="20"/>
        </w:rPr>
        <w:t xml:space="preserve">И.А. Прядкиной</w:t>
      </w:r>
    </w:p>
    <w:p>
      <w:pPr>
        <w:pStyle w:val="0"/>
        <w:jc w:val="right"/>
      </w:pPr>
      <w:r>
        <w:rPr>
          <w:sz w:val="20"/>
        </w:rPr>
        <w:t xml:space="preserve">ООО "КОМПЬЮТЕР ИНЖИНИРИНГ"</w:t>
      </w:r>
    </w:p>
    <w:p>
      <w:pPr>
        <w:pStyle w:val="0"/>
        <w:jc w:val="right"/>
      </w:pPr>
      <w:r>
        <w:rPr>
          <w:sz w:val="20"/>
        </w:rPr>
        <w:t xml:space="preserve">Региональный информационный центр</w:t>
      </w:r>
    </w:p>
    <w:p>
      <w:pPr>
        <w:pStyle w:val="0"/>
        <w:jc w:val="right"/>
      </w:pPr>
      <w:r>
        <w:rPr>
          <w:sz w:val="20"/>
        </w:rPr>
        <w:t xml:space="preserve">Сети КонсультантПлюс</w:t>
      </w:r>
    </w:p>
    <w:p>
      <w:pPr>
        <w:pStyle w:val="0"/>
        <w:jc w:val="both"/>
      </w:pPr>
      <w:r>
        <w:rPr>
          <w:sz w:val="20"/>
        </w:rPr>
      </w:r>
    </w:p>
    <w:p>
      <w:pPr>
        <w:pStyle w:val="0"/>
        <w:jc w:val="both"/>
      </w:pPr>
      <w:r>
        <w:rPr>
          <w:sz w:val="20"/>
        </w:rPr>
      </w:r>
    </w:p>
    <w:p>
      <w:pPr>
        <w:pStyle w:val="0"/>
        <w:jc w:val="both"/>
        <w:pBdr>
          <w:bottom w:val="single" w:sz="6" w:space="0" w:color="auto"/>
        </w:pBdr>
        <w:spacing w:before="100" w:after="100"/>
        <w:rPr>
          <w:sz w:val="2"/>
          <w:szCs w:val="2"/>
        </w:rPr>
      </w:pPr>
    </w:p>
    <w:sectPr>
      <w:headerReference w:type="default" r:id="rId2"/>
      <w:headerReference w:type="first" r:id="rId3"/>
      <w:footerReference w:type="default" r:id="rId5"/>
      <w:footerReference w:type="first" r:id="rId5"/>
      <w:pgSz w:w="11906" w:h="16838"/>
      <w:pgMar w:top="1440" w:right="566" w:bottom="1440" w:left="1133" w:header="0" w:footer="0" w:gutter="0"/>
      <w:titlePg/>
    </w:sectPr>
  </w:body>
</w:document>
</file>

<file path=word/footer1.xml><?xml version="1.0" encoding="utf-8"?>
<w:ftr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i="http://schemas.microsoft.com/office/word/2010/wordprocessingInk" xmlns:wne="http://schemas.microsoft.com/office/word/2006/wordml" mc:Ignorable="w14 w15 w16se wne wp14">
  <w:p>
    <w:pPr>
      <w:pBdr>
        <w:bottom w:val="single" w:sz="12" w:space="0" w:color="auto"/>
      </w:pBdr>
      <w:rPr>
        <w:sz w:val="2"/>
        <w:szCs w:val="2"/>
      </w:rPr>
    </w:pPr>
  </w:p>
  <w:tbl>
    <w:tblPr>
      <w:tblW w:w="5000" w:type="pct"/>
      <w:tblInd w:w="0" w:type="dxa"/>
      <w:tblCellMar>
        <w:left w:w="40" w:type="dxa"/>
        <w:right w:w="40" w:type="dxa"/>
      </w:tblCellMar>
      <w:tblLook w:firstRow="0" w:lastRow="0" w:firstColumn="0" w:lastColumn="0" w:noHBand="0" w:noVBand="0"/>
    </w:tblPr>
    <w:tblGrid>
      <w:gridCol w:w="1"/>
      <w:gridCol w:w="1"/>
      <w:gridCol w:w="1"/>
    </w:tblGrid>
    <w:tr>
      <w:trPr>
        <w:trHeight w:hRule="exact" w:val="1663"/>
      </w:trPr>
      <w:tc>
        <w:tcPr>
          <w:tcW w:w="1650" w:type="pct"/>
          <w:vAlign w:val="center"/>
        </w:tcPr>
        <w:p>
          <w:r>
            <w:rPr>
              <w:rFonts w:ascii="Tahoma" w:hAnsi="Tahoma" w:cs="Tahoma"/>
              <w:b/>
              <w:color w:val="f58220"/>
              <w:sz w:val="28"/>
              <w:szCs w:val="28"/>
              <w:noProof/>
            </w:rPr>
            <w:t>КонсультантПлюс</w:t>
          </w:r>
          <w:r>
            <w:rPr>
              <w:rFonts w:ascii="Tahoma" w:hAnsi="Tahoma" w:cs="Tahoma"/>
              <w:b/>
              <w:sz w:val="16"/>
              <w:szCs w:val="16"/>
              <w:noProof/>
            </w:rPr>
            <w:br/>
            <w:t>надежная правовая поддержка</w:t>
          </w:r>
        </w:p>
      </w:tc>
      <w:tc>
        <w:tcPr>
          <w:tcW w:w="1700" w:type="pct"/>
          <w:vAlign w:val="center"/>
        </w:tcPr>
        <w:p>
          <w:pPr>
            <w:jc w:val="center"/>
          </w:pPr>
          <w:hyperlink r:id="rId1" w:history="0">
            <w:r>
              <w:rPr>
                <w:rFonts w:ascii="Tahoma" w:hAnsi="Tahoma" w:cs="Tahoma"/>
                <w:b/>
                <w:color w:val="0000FF"/>
              </w:rPr>
              <w:t>www.consultant.ru</w:t>
            </w:r>
          </w:hyperlink>
        </w:p>
      </w:tc>
      <w:tc>
        <w:tcPr>
          <w:tcW w:w="1650" w:type="pct"/>
          <w:vAlign w:val="center"/>
        </w:tcPr>
        <w:p>
          <w:pPr>
            <w:jc w:val="end"/>
          </w:pPr>
          <w:r>
            <w:rPr>
              <w:rFonts w:ascii="Tahoma" w:hAnsi="Tahoma" w:cs="Tahoma"/>
            </w:rPr>
            <w:t xml:space="preserve">Страница </w:t>
          </w:r>
          <w:r>
            <w:fldChar w:fldCharType="begin"/>
          </w:r>
          <w:r>
            <w:rPr>
              <w:rFonts w:ascii="Tahoma" w:hAnsi="Tahoma" w:cs="Tahoma"/>
            </w:rPr>
            <w:instrText>PAGE</w:instrText>
          </w:r>
          <w:r>
            <w:fldChar w:fldCharType="separate"/>
          </w:r>
          <w:r>
            <w:rPr>
              <w:rFonts w:ascii="Tahoma" w:hAnsi="Tahoma" w:cs="Tahoma"/>
              <w:noProof/>
            </w:rPr>
            <w:t>5</w:t>
          </w:r>
          <w:r>
            <w:fldChar w:fldCharType="end"/>
          </w:r>
          <w:r>
            <w:rPr>
              <w:rFonts w:ascii="Tahoma" w:hAnsi="Tahoma" w:cs="Tahoma"/>
            </w:rPr>
            <w:t xml:space="preserve"> из </w:t>
          </w:r>
          <w:r>
            <w:fldChar w:fldCharType="begin"/>
          </w:r>
          <w:r>
            <w:rPr>
              <w:rFonts w:ascii="Tahoma" w:hAnsi="Tahoma" w:cs="Tahoma"/>
            </w:rPr>
            <w:instrText>NUMPAGES</w:instrText>
          </w:r>
          <w:r>
            <w:fldChar w:fldCharType="separate"/>
          </w:r>
          <w:r>
            <w:rPr>
              <w:rFonts w:ascii="Tahoma" w:hAnsi="Tahoma" w:cs="Tahoma"/>
              <w:noProof/>
            </w:rPr>
            <w:t>5</w:t>
          </w:r>
          <w:r>
            <w:fldChar w:fldCharType="end"/>
          </w:r>
        </w:p>
      </w:tc>
    </w:tr>
  </w:tbl>
  <w:p>
    <w:r>
      <w:rPr>
        <w:sz w:val="2"/>
        <w:szCs w:val="2"/>
      </w:rPr>
      <w:t>1</w:t>
    </w:r>
  </w:p>
</w:ftr>
</file>

<file path=word/header1.xml><?xml version="1.0" encoding="utf-8"?>
<w:hdr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i="http://schemas.microsoft.com/office/word/2010/wordprocessingInk" xmlns:wne="http://schemas.microsoft.com/office/word/2006/wordml" mc:Ignorable="w14 w15 w16se wne wp14">
  <w:tbl>
    <w:tblPr>
      <w:tblW w:w="5000" w:type="pct"/>
      <w:tblInd w:w="0" w:type="dxa"/>
      <w:tblLayout w:type="fixed"/>
      <w:tblCellMar>
        <w:left w:w="40" w:type="dxa"/>
        <w:right w:w="40" w:type="dxa"/>
      </w:tblCellMar>
    </w:tblPr>
    <w:tblGrid>
      <w:gridCol w:w="1"/>
      <w:gridCol w:w="1"/>
    </w:tblGrid>
    <w:tr>
      <w:trPr>
        <w:trHeight w:hRule="exact" w:val="1683"/>
      </w:trPr>
      <w:tc>
        <w:tcPr>
          <w:tcW w:w="2700" w:type="pct"/>
          <w:vAlign w:val="center"/>
        </w:tcPr>
        <w:p>
          <w:pPr>
            <w:rPr>
              <w:rFonts w:ascii="Tahoma" w:hAnsi="Tahoma" w:cs="Tahoma"/>
            </w:rPr>
          </w:pPr>
          <w:r>
            <w:rPr>
              <w:rFonts w:ascii="Tahoma" w:hAnsi="Tahoma" w:cs="Tahoma"/>
              <w:sz w:val="16"/>
              <w:szCs w:val="16"/>
            </w:rPr>
            <w:t>Вопрос: Как организации документально оформить расчеты с самозанятым гражданином для целей подтверждения расходов по нал...</w:t>
          </w:r>
        </w:p>
      </w:tc>
      <w:tc>
        <w:tcPr>
          <w:tcW w:w="2300" w:type="pct"/>
          <w:vAlign w:val="center"/>
        </w:tcPr>
        <w:p>
          <w:pPr>
            <w:jc w:val="end"/>
            <w:rPr>
              <w:rFonts w:ascii="Tahoma" w:hAnsi="Tahoma" w:cs="Tahoma"/>
            </w:rPr>
          </w:pPr>
          <w:r>
            <w:rPr>
              <w:rFonts w:ascii="Tahoma" w:hAnsi="Tahoma" w:cs="Tahoma"/>
              <w:sz w:val="18"/>
              <w:szCs w:val="18"/>
              <w:noProof/>
            </w:rPr>
            <w:t xml:space="preserve">Документ предоставлен </w:t>
          </w:r>
          <w:hyperlink r:id="rId1" w:history="0" w:tooltip="КонсультантПлюс - надежная правовая система">
            <w:r>
              <w:rPr>
                <w:rFonts w:ascii="Tahoma" w:hAnsi="Tahoma" w:cs="Tahoma"/>
                <w:color w:val="0000FF"/>
                <w:sz w:val="18"/>
                <w:szCs w:val="18"/>
                <w:noProof/>
              </w:rPr>
              <w:t>КонсультантПлюс</w:t>
            </w:r>
          </w:hyperlink>
          <w:r>
            <w:rPr>
              <w:rFonts w:ascii="Tahoma" w:hAnsi="Tahoma" w:cs="Tahoma"/>
              <w:sz w:val="18"/>
              <w:szCs w:val="18"/>
            </w:rPr>
            <w:br/>
          </w:r>
          <w:r>
            <w:rPr>
              <w:rFonts w:ascii="Tahoma" w:hAnsi="Tahoma" w:cs="Tahoma"/>
              <w:sz w:val="16"/>
              <w:szCs w:val="16"/>
            </w:rPr>
            <w:t>Дата сохранения: 29.06.2022</w:t>
          </w:r>
        </w:p>
      </w:tc>
    </w:tr>
  </w:tbl>
  <w:p>
    <w:pPr>
      <w:pBdr>
        <w:bottom w:val="single" w:sz="12" w:space="0" w:color="auto"/>
      </w:pBdr>
      <w:rPr>
        <w:sz w:val="2"/>
        <w:szCs w:val="2"/>
      </w:rPr>
    </w:pPr>
  </w:p>
  <w:p/>
</w:hdr>
</file>

<file path=word/header2.xml><?xml version="1.0" encoding="utf-8"?>
<w:hdr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i="http://schemas.microsoft.com/office/word/2010/wordprocessingInk" xmlns:wne="http://schemas.microsoft.com/office/word/2006/wordml" mc:Ignorable="w14 w15 w16se wne wp14">
  <w:tbl>
    <w:tblPr>
      <w:tblW w:w="5000" w:type="pct"/>
      <w:tblInd w:w="0" w:type="dxa"/>
      <w:tblLayout w:type="fixed"/>
      <w:tblCellMar>
        <w:left w:w="40" w:type="dxa"/>
        <w:right w:w="40" w:type="dxa"/>
      </w:tblCellMar>
    </w:tblPr>
    <w:tblGrid>
      <w:gridCol w:w="1"/>
      <w:gridCol w:w="1"/>
    </w:tblGrid>
    <w:tr>
      <w:trPr>
        <w:trHeight w:hRule="exact" w:val="1683"/>
      </w:trPr>
      <w:tc>
        <w:tcPr>
          <w:tcW w:w="2700" w:type="pct"/>
          <w:vAlign w:val="center"/>
        </w:tcPr>
        <w:p>
          <w:pPr>
            <w:rPr>
              <w:rFonts w:ascii="Tahoma" w:hAnsi="Tahoma" w:cs="Tahoma"/>
            </w:rPr>
          </w:pPr>
          <w:r>
            <w:drawing>
              <wp:inline distT="0" distB="0" distL="0" distR="0">
                <wp:extent cx="1910715" cy="445770"/>
                <wp:effectExtent l="0" t="0" r="0" b="0"/>
                <wp:docPr id="1"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2">
                          <a:extLst>
                            <a:ext uri="{28A0092B-C50C-407E-A947-70E740481C1C}">
                              <a14:useLocalDpi xmlns:a14="http://schemas.microsoft.com/office/drawing/2010/main" val="0"/>
                            </a:ext>
                          </a:extLst>
                        </a:blip>
                        <a:srcRect/>
                        <a:stretch>
                          <a:fillRect/>
                        </a:stretch>
                      </pic:blipFill>
                      <pic:spPr bwMode="auto">
                        <a:xfrm>
                          <a:off x="0" y="0"/>
                          <a:ext cx="1910715" cy="445770"/>
                        </a:xfrm>
                        <a:prstGeom prst="rect">
                          <a:avLst/>
                        </a:prstGeom>
                        <a:noFill/>
                        <a:ln>
                          <a:noFill/>
                        </a:ln>
                      </pic:spPr>
                    </pic:pic>
                  </a:graphicData>
                </a:graphic>
              </wp:inline>
            </w:drawing>
          </w:r>
          <w:r>
            <w:rPr>
              <w:rFonts w:ascii="Tahoma" w:hAnsi="Tahoma" w:cs="Tahoma"/>
              <w:sz w:val="18"/>
              <w:szCs w:val="18"/>
            </w:rPr>
            <w:br/>
          </w:r>
          <w:r>
            <w:rPr>
              <w:rFonts w:ascii="Tahoma" w:hAnsi="Tahoma" w:cs="Tahoma"/>
              <w:sz w:val="16"/>
              <w:szCs w:val="16"/>
            </w:rPr>
            <w:t>Вопрос: Как организации документально оформить расчеты с самозанятым гражданином для целей подтверждения расходов по нал...</w:t>
          </w:r>
        </w:p>
      </w:tc>
      <w:tc>
        <w:tcPr>
          <w:tcW w:w="2300" w:type="pct"/>
          <w:vAlign w:val="center"/>
        </w:tcPr>
        <w:p>
          <w:pPr>
            <w:jc w:val="end"/>
            <w:rPr>
              <w:rFonts w:ascii="Tahoma" w:hAnsi="Tahoma" w:cs="Tahoma"/>
            </w:rPr>
          </w:pPr>
          <w:r>
            <w:rPr>
              <w:rFonts w:ascii="Tahoma" w:hAnsi="Tahoma" w:cs="Tahoma"/>
              <w:sz w:val="18"/>
              <w:szCs w:val="18"/>
              <w:noProof/>
            </w:rPr>
            <w:t xml:space="preserve">Документ предоставлен </w:t>
          </w:r>
          <w:hyperlink r:id="rId1" w:history="0" w:tooltip="КонсультантПлюс - надежная правовая система">
            <w:r>
              <w:rPr>
                <w:rFonts w:ascii="Tahoma" w:hAnsi="Tahoma" w:cs="Tahoma"/>
                <w:color w:val="0000FF"/>
                <w:sz w:val="18"/>
                <w:szCs w:val="18"/>
                <w:noProof/>
              </w:rPr>
              <w:t>КонсультантПлюс</w:t>
            </w:r>
          </w:hyperlink>
          <w:r>
            <w:rPr>
              <w:rFonts w:ascii="Tahoma" w:hAnsi="Tahoma" w:cs="Tahoma"/>
              <w:sz w:val="18"/>
              <w:szCs w:val="18"/>
            </w:rPr>
            <w:br/>
          </w:r>
          <w:r>
            <w:rPr>
              <w:rFonts w:ascii="Tahoma" w:hAnsi="Tahoma" w:cs="Tahoma"/>
              <w:sz w:val="16"/>
              <w:szCs w:val="16"/>
            </w:rPr>
            <w:t>Дата сохранения: 29.06.2022</w:t>
          </w:r>
        </w:p>
      </w:tc>
    </w:tr>
  </w:tbl>
  <w:p>
    <w:pPr>
      <w:pBdr>
        <w:bottom w:val="single" w:sz="12" w:space="0" w:color="auto"/>
      </w:pBdr>
      <w:rPr>
        <w:sz w:val="2"/>
        <w:szCs w:val="2"/>
      </w:rPr>
    </w:pPr>
  </w:p>
  <w:p/>
</w:hdr>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pPrDefault>
      <w:pPr>
        <w:spacing w:before="0" w:after="0" w:line="240" w:lineRule="auto"/>
      </w:pPr>
    </w:pPrDefault>
  </w:docDefaults>
  <w:style w:type="paragraph" w:default="1" w:customStyle="1" w:styleId="0">
    <w:name w:val="ConsPlusNormal"/>
    <w:pPr>
      <w:widowControl w:val="0"/>
      <w:autoSpaceDE w:val="0"/>
      <w:autoSpaceDN w:val="0"/>
    </w:pPr>
    <w:rPr>
      <w:rFonts w:ascii="Arial" w:hAnsi="Arial" w:cs="Arial"/>
      <w:sz w:val="20"/>
    </w:rPr>
  </w:style>
  <w:style w:type="paragraph" w:customStyle="1" w:styleId="1">
    <w:name w:val="ConsPlusNonformat"/>
    <w:pPr>
      <w:widowControl w:val="0"/>
      <w:autoSpaceDE w:val="0"/>
      <w:autoSpaceDN w:val="0"/>
    </w:pPr>
    <w:rPr>
      <w:rFonts w:ascii="Courier New" w:hAnsi="Courier New" w:cs="Courier New"/>
      <w:sz w:val="20"/>
    </w:rPr>
  </w:style>
  <w:style w:type="paragraph" w:customStyle="1" w:styleId="2">
    <w:name w:val="ConsPlusTitle"/>
    <w:pPr>
      <w:widowControl w:val="0"/>
      <w:autoSpaceDE w:val="0"/>
      <w:autoSpaceDN w:val="0"/>
    </w:pPr>
    <w:rPr>
      <w:rFonts w:ascii="Arial" w:hAnsi="Arial" w:cs="Arial"/>
      <w:sz w:val="20"/>
      <w:b/>
    </w:rPr>
  </w:style>
  <w:style w:type="paragraph" w:customStyle="1" w:styleId="3">
    <w:name w:val="ConsPlusCell"/>
    <w:pPr>
      <w:widowControl w:val="0"/>
      <w:autoSpaceDE w:val="0"/>
      <w:autoSpaceDN w:val="0"/>
    </w:pPr>
    <w:rPr>
      <w:rFonts w:ascii="Courier New" w:hAnsi="Courier New" w:cs="Courier New"/>
      <w:sz w:val="20"/>
    </w:rPr>
  </w:style>
  <w:style w:type="paragraph" w:customStyle="1" w:styleId="4">
    <w:name w:val="ConsPlusDocList"/>
    <w:pPr>
      <w:widowControl w:val="0"/>
      <w:autoSpaceDE w:val="0"/>
      <w:autoSpaceDN w:val="0"/>
    </w:pPr>
    <w:rPr>
      <w:rFonts w:ascii="Courier New" w:hAnsi="Courier New" w:cs="Courier New"/>
      <w:sz w:val="20"/>
    </w:rPr>
  </w:style>
  <w:style w:type="paragraph" w:customStyle="1" w:styleId="5">
    <w:name w:val="ConsPlusTitlePage"/>
    <w:pPr>
      <w:widowControl w:val="0"/>
      <w:autoSpaceDE w:val="0"/>
      <w:autoSpaceDN w:val="0"/>
    </w:pPr>
    <w:rPr>
      <w:rFonts w:ascii="Tahoma" w:hAnsi="Tahoma" w:cs="Tahoma"/>
      <w:sz w:val="20"/>
    </w:rPr>
  </w:style>
  <w:style w:type="paragraph" w:customStyle="1" w:styleId="6">
    <w:name w:val="ConsPlusJurTerm"/>
    <w:pPr>
      <w:widowControl w:val="0"/>
      <w:autoSpaceDE w:val="0"/>
      <w:autoSpaceDN w:val="0"/>
    </w:pPr>
    <w:rPr>
      <w:rFonts w:ascii="Tahoma" w:hAnsi="Tahoma" w:cs="Tahoma"/>
      <w:sz w:val="26"/>
    </w:rPr>
  </w:style>
  <w:style w:type="paragraph" w:customStyle="1" w:styleId="7">
    <w:name w:val="ConsPlusTextList"/>
    <w:pPr>
      <w:widowControl w:val="0"/>
      <w:autoSpaceDE w:val="0"/>
      <w:autoSpaceDN w:val="0"/>
    </w:pPr>
    <w:rPr>
      <w:rFonts w:ascii="Arial" w:hAnsi="Arial" w:cs="Arial"/>
      <w:sz w:val="20"/>
    </w:rPr>
  </w:style>
  <w:style w:type="paragraph" w:customStyle="1" w:styleId="8">
    <w:name w:val="ConsPlusTextList"/>
    <w:pPr>
      <w:widowControl w:val="0"/>
      <w:autoSpaceDE w:val="0"/>
      <w:autoSpaceDN w:val="0"/>
    </w:pPr>
    <w:rPr>
      <w:rFonts w:ascii="Arial" w:hAnsi="Arial" w:cs="Arial"/>
      <w:sz w:val="20"/>
    </w:rPr>
  </w:style>
</w:styles>
</file>

<file path=word/_rels/document.xml.rels>&#65279;<?xml version="1.0" encoding="UTF-8" standalone="yes"?>
<Relationships xmlns="http://schemas.openxmlformats.org/package/2006/relationships">
	<Relationship Id="rId1" Type="http://schemas.openxmlformats.org/officeDocument/2006/relationships/styles" Target="styles.xml"/>
	<Relationship Id="rId2" Type="http://schemas.openxmlformats.org/officeDocument/2006/relationships/header" Target="header1.xml"/>
	<Relationship Id="rId3" Type="http://schemas.openxmlformats.org/officeDocument/2006/relationships/header" Target="header2.xml"/>
	<Relationship Id="rId4" Type="http://schemas.openxmlformats.org/officeDocument/2006/relationships/image" Target="media/image1.png"/>
	<Relationship Id="rId5" Type="http://schemas.openxmlformats.org/officeDocument/2006/relationships/footer" Target="footer1.xml"/>
	<Relationship Id="rId6" Type="http://schemas.openxmlformats.org/officeDocument/2006/relationships/hyperlink" Target="https://login.consultant.ru/link/?req=doc&amp;base=LAW&amp;n=387000" TargetMode = "External"/>
	<Relationship Id="rId7" Type="http://schemas.openxmlformats.org/officeDocument/2006/relationships/hyperlink" Target="https://login.consultant.ru/link/?req=doc&amp;base=LAW&amp;n=387000&amp;dst=100019" TargetMode = "External"/>
	<Relationship Id="rId8" Type="http://schemas.openxmlformats.org/officeDocument/2006/relationships/hyperlink" Target="https://login.consultant.ru/link/?req=doc&amp;base=LAW&amp;n=410306&amp;dst=100908" TargetMode = "External"/>
	<Relationship Id="rId9" Type="http://schemas.openxmlformats.org/officeDocument/2006/relationships/hyperlink" Target="https://login.consultant.ru/link/?req=doc&amp;base=LAW&amp;n=417877&amp;dst=101954" TargetMode = "External"/>
	<Relationship Id="rId10" Type="http://schemas.openxmlformats.org/officeDocument/2006/relationships/hyperlink" Target="https://login.consultant.ru/link/?req=doc&amp;base=LAW&amp;n=387000&amp;dst=100130" TargetMode = "External"/>
	<Relationship Id="rId11" Type="http://schemas.openxmlformats.org/officeDocument/2006/relationships/hyperlink" Target="https://login.consultant.ru/link/?req=doc&amp;base=LAW&amp;n=387000&amp;dst=100132" TargetMode = "External"/>
	<Relationship Id="rId12" Type="http://schemas.openxmlformats.org/officeDocument/2006/relationships/hyperlink" Target="https://login.consultant.ru/link/?req=doc&amp;base=LAW&amp;n=318780&amp;dst=100020" TargetMode = "External"/>
	<Relationship Id="rId13" Type="http://schemas.openxmlformats.org/officeDocument/2006/relationships/hyperlink" Target="https://login.consultant.ru/link/?req=doc&amp;base=LAW&amp;n=387000&amp;dst=100116" TargetMode = "External"/>
	<Relationship Id="rId14" Type="http://schemas.openxmlformats.org/officeDocument/2006/relationships/hyperlink" Target="https://login.consultant.ru/link/?req=doc&amp;base=LAW&amp;n=387000&amp;dst=100151" TargetMode = "External"/>
	<Relationship Id="rId15" Type="http://schemas.openxmlformats.org/officeDocument/2006/relationships/hyperlink" Target="https://login.consultant.ru/link/?req=doc&amp;base=LAW&amp;n=387000&amp;dst=100117" TargetMode = "External"/>
	<Relationship Id="rId16" Type="http://schemas.openxmlformats.org/officeDocument/2006/relationships/hyperlink" Target="https://login.consultant.ru/link/?req=doc&amp;base=LAW&amp;n=409767&amp;dst=100070" TargetMode = "External"/>
	<Relationship Id="rId17" Type="http://schemas.openxmlformats.org/officeDocument/2006/relationships/hyperlink" Target="https://login.consultant.ru/link/?req=doc&amp;base=LAW&amp;n=387000&amp;dst=100119" TargetMode = "External"/>
	<Relationship Id="rId18" Type="http://schemas.openxmlformats.org/officeDocument/2006/relationships/hyperlink" Target="https://login.consultant.ru/link/?req=doc&amp;base=LAW&amp;n=387000&amp;dst=100120" TargetMode = "External"/>
	<Relationship Id="rId19" Type="http://schemas.openxmlformats.org/officeDocument/2006/relationships/hyperlink" Target="https://login.consultant.ru/link/?req=doc&amp;base=LAW&amp;n=417877&amp;dst=102383" TargetMode = "External"/>
	<Relationship Id="rId20" Type="http://schemas.openxmlformats.org/officeDocument/2006/relationships/hyperlink" Target="https://login.consultant.ru/link/?req=doc&amp;base=QUEST&amp;n=206901" TargetMode = "External"/>
	<Relationship Id="rId21" Type="http://schemas.openxmlformats.org/officeDocument/2006/relationships/hyperlink" Target="https://login.consultant.ru/link/?req=doc&amp;base=LAW&amp;n=387000&amp;dst=100124" TargetMode = "External"/>
	<Relationship Id="rId22" Type="http://schemas.openxmlformats.org/officeDocument/2006/relationships/hyperlink" Target="https://login.consultant.ru/link/?req=doc&amp;base=LAW&amp;n=393734&amp;dst=100006" TargetMode = "External"/>
	<Relationship Id="rId23" Type="http://schemas.openxmlformats.org/officeDocument/2006/relationships/hyperlink" Target="https://login.consultant.ru/link/?req=doc&amp;base=QUEST&amp;n=199979" TargetMode = "External"/>
</Relationships>
</file>

<file path=word/_rels/footer1.xml.rels>&#65279;<?xml version="1.0" encoding="UTF-8" standalone="yes"?>
<Relationships xmlns="http://schemas.openxmlformats.org/package/2006/relationships">
	<Relationship Id="rId1" Type="http://schemas.openxmlformats.org/officeDocument/2006/relationships/hyperlink" Target="https://www.consultant.ru" TargetMode = "External"/>
</Relationships>
</file>

<file path=word/_rels/header1.xml.rels>&#65279;<?xml version="1.0" encoding="UTF-8" standalone="yes"?>
<Relationships xmlns="http://schemas.openxmlformats.org/package/2006/relationships">
	<Relationship Id="rId1" Type="http://schemas.openxmlformats.org/officeDocument/2006/relationships/hyperlink" Target="https://www.consultant.ru" TargetMode = "External"/>
</Relationships>
</file>

<file path=word/_rels/header2.xml.rels>&#65279;<?xml version="1.0" encoding="UTF-8" standalone="yes"?>
<Relationships xmlns="http://schemas.openxmlformats.org/package/2006/relationships">
	<Relationship Id="rId1" Type="http://schemas.openxmlformats.org/officeDocument/2006/relationships/hyperlink" Target="https://www.consultant.ru" TargetMode = "External"/>
	<Relationship Id="rId2" Type="http://schemas.openxmlformats.org/officeDocument/2006/relationships/image" Target="media/image1.png"/>
</Relationships>
</file>

<file path=docProps/app.xml><?xml version="1.0" encoding="utf-8"?>
<Properties xmlns="http://schemas.openxmlformats.org/officeDocument/2006/extended-properties" xmlns:vt="http://schemas.openxmlformats.org/officeDocument/2006/docPropsVTypes">
  <Application>КонсультантПлюс Версия 4022.00.11</Application>
  <Company>КонсультантПлюс Версия 4022.00.11</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Вопрос: Как организации документально оформить расчеты с самозанятым гражданином для целей подтверждения расходов по налогу на прибыль?
(Консультация эксперта, 2022)</dc:title>
  <dcterms:created xsi:type="dcterms:W3CDTF">2022-06-29T08:31:59Z</dcterms:created>
</cp:coreProperties>
</file>