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7.0 -->
  <w:body>
    <w:p>
      <w:pPr>
        <w:pStyle w:val="ConsPlusNormal"/>
        <w:ind w:left="0" w:firstLine="0"/>
        <w:jc w:val="both"/>
        <w:outlineLvl w:val="0"/>
      </w:pPr>
    </w:p>
    <w:p>
      <w:pPr>
        <w:pStyle w:val="ConsPlusTitle"/>
        <w:ind w:left="0" w:firstLine="0"/>
        <w:jc w:val="center"/>
      </w:pPr>
      <w:r>
        <w:t>ФЕДЕРАЛЬНАЯ НАЛОГОВАЯ СЛУЖБА</w:t>
      </w:r>
    </w:p>
    <w:p>
      <w:pPr>
        <w:pStyle w:val="ConsPlusTitle"/>
        <w:ind w:left="0" w:firstLine="0"/>
        <w:jc w:val="center"/>
      </w:pPr>
    </w:p>
    <w:p>
      <w:pPr>
        <w:pStyle w:val="ConsPlusTitle"/>
        <w:ind w:left="0" w:firstLine="0"/>
        <w:jc w:val="center"/>
      </w:pPr>
      <w:r>
        <w:t>ИНФОРМАЦИЯ</w:t>
      </w:r>
    </w:p>
    <w:p>
      <w:pPr>
        <w:pStyle w:val="ConsPlusTitle"/>
        <w:ind w:left="0" w:firstLine="0"/>
        <w:jc w:val="center"/>
      </w:pPr>
    </w:p>
    <w:p>
      <w:pPr>
        <w:pStyle w:val="ConsPlusTitle"/>
        <w:ind w:left="0" w:firstLine="0"/>
        <w:jc w:val="center"/>
      </w:pPr>
      <w:r>
        <w:t>С 1 ИЮЛЯ</w:t>
      </w:r>
    </w:p>
    <w:p>
      <w:pPr>
        <w:pStyle w:val="ConsPlusTitle"/>
        <w:ind w:left="0" w:firstLine="0"/>
        <w:jc w:val="center"/>
      </w:pPr>
      <w:r>
        <w:t>КВАЛИФИЦИРОВАННУЮ ЭЛЕКТРОННУЮ ПОДПИСЬ ДЛЯ ЮЛ/ИП</w:t>
      </w:r>
    </w:p>
    <w:p>
      <w:pPr>
        <w:pStyle w:val="ConsPlusTitle"/>
        <w:ind w:left="0" w:firstLine="0"/>
        <w:jc w:val="center"/>
      </w:pPr>
      <w:r>
        <w:t>МОЖНО ПОЛУЧИТЬ В ФНС РОССИИ</w:t>
      </w:r>
    </w:p>
    <w:p>
      <w:pPr>
        <w:pStyle w:val="ConsPlusNormal"/>
        <w:ind w:left="0" w:firstLine="540"/>
        <w:jc w:val="both"/>
      </w:pPr>
    </w:p>
    <w:p>
      <w:pPr>
        <w:pStyle w:val="ConsPlusNormal"/>
        <w:ind w:left="0" w:firstLine="540"/>
        <w:jc w:val="both"/>
      </w:pPr>
      <w:r>
        <w:t>С 1 июля получить квалифицированный сертификат ключа проверки электронной подписи можно в Удостоверяющем центре ФНС России. Услуга бесплатна. КЭП выдаются в территориальных налоговых органах. Выбрать инспекцию можно в разделе, записаться на прием - онлайн.</w:t>
      </w:r>
    </w:p>
    <w:p>
      <w:pPr>
        <w:pStyle w:val="ConsPlusNormal"/>
        <w:spacing w:before="240"/>
        <w:ind w:left="0" w:firstLine="540"/>
        <w:jc w:val="both"/>
      </w:pPr>
      <w:r>
        <w:t>Кто может обратиться за получением квалифицированного сертификата в удостоверяющий центр ФНС России?</w:t>
      </w:r>
    </w:p>
    <w:p>
      <w:pPr>
        <w:pStyle w:val="ConsPlusNormal"/>
        <w:spacing w:before="240"/>
        <w:ind w:left="0" w:firstLine="540"/>
        <w:jc w:val="both"/>
      </w:pPr>
      <w:r>
        <w:t>- юридическое лицо (лицо, имеющее право действовать без доверенности);</w:t>
      </w:r>
    </w:p>
    <w:p>
      <w:pPr>
        <w:pStyle w:val="ConsPlusNormal"/>
        <w:spacing w:before="240"/>
        <w:ind w:left="0" w:firstLine="540"/>
        <w:jc w:val="both"/>
      </w:pPr>
      <w:r>
        <w:t>- индивидуальный предприниматель;</w:t>
      </w:r>
    </w:p>
    <w:p>
      <w:pPr>
        <w:pStyle w:val="ConsPlusNormal"/>
        <w:spacing w:before="240"/>
        <w:ind w:left="0" w:firstLine="540"/>
        <w:jc w:val="both"/>
      </w:pPr>
      <w:r>
        <w:t>- нотариус.</w:t>
      </w:r>
    </w:p>
    <w:p>
      <w:pPr>
        <w:pStyle w:val="ConsPlusNormal"/>
        <w:spacing w:before="240"/>
        <w:ind w:left="0" w:firstLine="540"/>
        <w:jc w:val="both"/>
      </w:pPr>
      <w:r>
        <w:t>Что необходимо для получения квалифицированного сертификата в удостоверяющем центре ФНС России?</w:t>
      </w:r>
    </w:p>
    <w:p>
      <w:pPr>
        <w:pStyle w:val="ConsPlusNormal"/>
        <w:spacing w:before="240"/>
        <w:ind w:left="0" w:firstLine="540"/>
        <w:jc w:val="both"/>
      </w:pPr>
      <w:r>
        <w:t>- Документ, удостоверяющий личность;</w:t>
      </w:r>
    </w:p>
    <w:p>
      <w:pPr>
        <w:pStyle w:val="ConsPlusNormal"/>
        <w:spacing w:before="240"/>
        <w:ind w:left="0" w:firstLine="540"/>
        <w:jc w:val="both"/>
      </w:pPr>
      <w:r>
        <w:t>- СНИЛС;</w:t>
      </w:r>
    </w:p>
    <w:p>
      <w:pPr>
        <w:pStyle w:val="ConsPlusNormal"/>
        <w:spacing w:before="240"/>
        <w:ind w:left="0" w:firstLine="540"/>
        <w:jc w:val="both"/>
      </w:pPr>
      <w:r>
        <w:t>- USB-носитель ключевой информации (токен) для записи квалифицированного сертификата и ключа электронной подписи, сертифицированный ФСТЭК России или ФСБ России.</w:t>
      </w:r>
    </w:p>
    <w:p>
      <w:pPr>
        <w:pStyle w:val="ConsPlusNormal"/>
        <w:spacing w:before="240"/>
        <w:ind w:left="0" w:firstLine="540"/>
        <w:jc w:val="both"/>
      </w:pPr>
      <w:r>
        <w:t>Приобрести носитель ключевой информации можно у дистрибьюторов производителей и в специализированных интернет-магазинах. Можно использовать имеющиеся носители ключевой информации при наличии действующего сертификата соответствия ФСТЭК России или ФСБ России на этот носитель.</w:t>
      </w:r>
    </w:p>
    <w:p>
      <w:pPr>
        <w:pStyle w:val="ConsPlusNormal"/>
        <w:spacing w:before="240"/>
        <w:ind w:left="0" w:firstLine="540"/>
        <w:jc w:val="both"/>
      </w:pPr>
      <w:r>
        <w:t>Подготовить и направить заявление на выпуск квалифицированного сертификата также можно через Личный кабинет налогоплательщика - физического лица (Жизненные ситуации - Нужна квалифицированная электронная подпись). Подробности на промостранице.</w:t>
      </w:r>
    </w:p>
    <w:p>
      <w:pPr>
        <w:pStyle w:val="ConsPlusNormal"/>
        <w:ind w:left="0" w:firstLine="540"/>
        <w:jc w:val="both"/>
      </w:pPr>
    </w:p>
    <w:p>
      <w:pPr>
        <w:pStyle w:val="ConsPlusNormal"/>
        <w:ind w:left="0" w:firstLine="540"/>
        <w:jc w:val="both"/>
      </w:pPr>
    </w:p>
    <w:p>
      <w:pPr>
        <w:pStyle w:val="ConsPlusNormal"/>
        <w:pBdr>
          <w:top w:val="single" w:sz="0" w:space="0" w:color="auto"/>
        </w:pBdr>
        <w:spacing w:before="100" w:after="100"/>
        <w:ind w:left="0" w:firstLine="0"/>
        <w:jc w:val="both"/>
        <w:rPr>
          <w:sz w:val="2"/>
          <w:szCs w:val="2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type w:val="nextPage"/>
      <w:pgSz w:w="11906" w:h="16838"/>
      <w:pgMar w:top="1440" w:right="566" w:bottom="1440" w:left="1133" w:header="0" w:foo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CC"/>
    <w:family w:val="roman"/>
    <w:pitch w:val="variable"/>
    <w:sig w:usb0="00000000" w:usb1="00000000" w:usb2="00000000" w:usb3="00000000" w:csb0="00000004" w:csb1="00000000"/>
  </w:font>
  <w:font w:name="Courier New">
    <w:charset w:val="CC"/>
    <w:family w:val="modern"/>
    <w:pitch w:val="fixed"/>
    <w:sig w:usb0="00000000" w:usb1="00000000" w:usb2="00000000" w:usb3="00000000" w:csb0="00000004" w:csb1="00000000"/>
  </w:font>
  <w:font w:name="Arial">
    <w:charset w:val="CC"/>
    <w:family w:val="roman"/>
    <w:pitch w:val="variable"/>
  </w:font>
  <w:font w:name="Tahoma">
    <w:charset w:val="CC"/>
    <w:family w:val="modern"/>
    <w:pitch w:val="fixed"/>
    <w:sig w:usb0="00000000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onsPlusNormal"/>
      <w:pBdr>
        <w:bottom w:val="single" w:sz="12" w:space="0" w:color="auto"/>
      </w:pBdr>
      <w:jc w:val="center"/>
      <w:rPr>
        <w:b w:val="0"/>
        <w:bCs w:val="0"/>
        <w:i w:val="0"/>
        <w:iCs w:val="0"/>
        <w:strike w:val="0"/>
        <w:sz w:val="2"/>
        <w:szCs w:val="2"/>
        <w:u w:val="none"/>
        <w:vertAlign w:val="baseline"/>
      </w:rPr>
    </w:pPr>
    <w:r>
      <w:rPr>
        <w:b w:val="0"/>
        <w:bCs w:val="0"/>
        <w:i w:val="0"/>
        <w:iCs w:val="0"/>
        <w:strike w:val="0"/>
        <w:sz w:val="10"/>
        <w:szCs w:val="10"/>
        <w:u w:val="none"/>
        <w:vertAlign w:val="baseline"/>
      </w:rPr>
      <w:t xml:space="preserve"> </w:t>
    </w:r>
  </w:p>
  <w:tbl>
    <w:tblPr>
      <w:tblInd w:w="40" w:type="dxa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blPrEx>
        <w:tblInd w:w="40" w:type="dxa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left"/>
            <w:rPr>
              <w:b/>
              <w:bCs/>
              <w:strike w:val="0"/>
              <w:color w:val="F58220"/>
              <w:sz w:val="28"/>
              <w:szCs w:val="28"/>
              <w:u w:val="none"/>
              <w:vertAlign w:val="baseline"/>
            </w:rPr>
          </w:pPr>
          <w:r>
            <w:rPr>
              <w:b/>
              <w:bCs/>
              <w:strike w:val="0"/>
              <w:color w:val="F58220"/>
              <w:sz w:val="28"/>
              <w:szCs w:val="28"/>
              <w:u w:val="none"/>
              <w:vertAlign w:val="baseline"/>
            </w:rPr>
            <w:t>КонсультантПлюс</w:t>
          </w:r>
          <w:r>
            <w:rPr>
              <w:b/>
              <w:bCs/>
              <w:strike w:val="0"/>
              <w:color w:val="auto"/>
              <w:sz w:val="16"/>
              <w:szCs w:val="16"/>
              <w:u w:val="none"/>
              <w:vertAlign w:val="baseline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center"/>
            <w:rPr>
              <w:b/>
              <w:bCs/>
              <w:strike w:val="0"/>
              <w:sz w:val="20"/>
              <w:szCs w:val="20"/>
              <w:u w:val="none"/>
              <w:vertAlign w:val="baseline"/>
            </w:rPr>
          </w:pPr>
          <w:hyperlink r:id="rId1" w:history="1">
            <w:r>
              <w:rPr>
                <w:b/>
                <w:bCs/>
                <w:strike w:val="0"/>
                <w:color w:val="0000FF"/>
                <w:sz w:val="20"/>
                <w:szCs w:val="20"/>
                <w:u w:val="none"/>
                <w:vertAlign w:val="baseline"/>
              </w:rPr>
              <w:t>www.consultant.ru</w:t>
            </w:r>
          </w:hyperlink>
        </w:p>
      </w:tc>
      <w:tc>
        <w:tcPr>
          <w:tcW w:w="16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right"/>
            <w:rPr>
              <w:strike w:val="0"/>
              <w:sz w:val="20"/>
              <w:szCs w:val="20"/>
              <w:u w:val="none"/>
              <w:vertAlign w:val="baseline"/>
            </w:rPr>
          </w:pPr>
          <w:r>
            <w:rPr>
              <w:strike w:val="0"/>
              <w:sz w:val="20"/>
              <w:szCs w:val="20"/>
              <w:u w:val="none"/>
              <w:vertAlign w:val="baseline"/>
            </w:rPr>
            <w:t xml:space="preserve">Страница </w:t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begin"/>
          </w:r>
          <w:r>
            <w:rPr>
              <w:strike w:val="0"/>
              <w:sz w:val="20"/>
              <w:szCs w:val="20"/>
              <w:u w:val="none"/>
              <w:vertAlign w:val="baseline"/>
            </w:rPr>
            <w:instrText>\PAGE</w:instrText>
          </w:r>
          <w:r>
            <w:fldChar w:fldCharType="separate"/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end"/>
          </w:r>
          <w:r>
            <w:rPr>
              <w:strike w:val="0"/>
              <w:sz w:val="20"/>
              <w:szCs w:val="20"/>
              <w:u w:val="none"/>
              <w:vertAlign w:val="baseline"/>
            </w:rPr>
            <w:t xml:space="preserve"> из </w:t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begin"/>
          </w:r>
          <w:r>
            <w:rPr>
              <w:strike w:val="0"/>
              <w:sz w:val="20"/>
              <w:szCs w:val="20"/>
              <w:u w:val="none"/>
              <w:vertAlign w:val="baseline"/>
            </w:rPr>
            <w:instrText>\NUMPAGES</w:instrText>
          </w:r>
          <w:r>
            <w:fldChar w:fldCharType="separate"/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end"/>
          </w:r>
        </w:p>
      </w:tc>
    </w:tr>
  </w:tbl>
  <w:p>
    <w:pPr>
      <w:pStyle w:val="ConsPlusNormal"/>
      <w:rPr>
        <w:b w:val="0"/>
        <w:bCs w:val="0"/>
        <w:i w:val="0"/>
        <w:iCs w:val="0"/>
        <w:strike w:val="0"/>
        <w:sz w:val="2"/>
        <w:szCs w:val="2"/>
        <w:u w:val="none"/>
        <w:vertAlign w:val="baselin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onsPlusNormal"/>
      <w:pBdr>
        <w:bottom w:val="single" w:sz="12" w:space="0" w:color="auto"/>
      </w:pBdr>
      <w:jc w:val="center"/>
      <w:rPr>
        <w:b w:val="0"/>
        <w:bCs w:val="0"/>
        <w:i w:val="0"/>
        <w:iCs w:val="0"/>
        <w:strike w:val="0"/>
        <w:sz w:val="2"/>
        <w:szCs w:val="2"/>
        <w:u w:val="none"/>
        <w:vertAlign w:val="baseline"/>
      </w:rPr>
    </w:pPr>
  </w:p>
  <w:tbl>
    <w:tblPr>
      <w:tblInd w:w="40" w:type="dxa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blPrEx>
        <w:tblInd w:w="40" w:type="dxa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left"/>
            <w:rPr>
              <w:b/>
              <w:bCs/>
              <w:strike w:val="0"/>
              <w:color w:val="F58220"/>
              <w:sz w:val="28"/>
              <w:szCs w:val="28"/>
              <w:u w:val="none"/>
              <w:vertAlign w:val="baseline"/>
            </w:rPr>
          </w:pPr>
          <w:r>
            <w:rPr>
              <w:b/>
              <w:bCs/>
              <w:strike w:val="0"/>
              <w:color w:val="F58220"/>
              <w:sz w:val="28"/>
              <w:szCs w:val="28"/>
              <w:u w:val="none"/>
              <w:vertAlign w:val="baseline"/>
            </w:rPr>
            <w:t>КонсультантПлюс</w:t>
          </w:r>
          <w:r>
            <w:rPr>
              <w:b/>
              <w:bCs/>
              <w:strike w:val="0"/>
              <w:color w:val="auto"/>
              <w:sz w:val="16"/>
              <w:szCs w:val="16"/>
              <w:u w:val="none"/>
              <w:vertAlign w:val="baseline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center"/>
            <w:rPr>
              <w:b/>
              <w:bCs/>
              <w:strike w:val="0"/>
              <w:sz w:val="20"/>
              <w:szCs w:val="20"/>
              <w:u w:val="none"/>
              <w:vertAlign w:val="baseline"/>
            </w:rPr>
          </w:pPr>
          <w:hyperlink r:id="rId1" w:history="1">
            <w:r>
              <w:rPr>
                <w:b/>
                <w:bCs/>
                <w:strike w:val="0"/>
                <w:color w:val="0000FF"/>
                <w:sz w:val="20"/>
                <w:szCs w:val="20"/>
                <w:u w:val="none"/>
                <w:vertAlign w:val="baseline"/>
              </w:rPr>
              <w:t>www.consultant.ru</w:t>
            </w:r>
          </w:hyperlink>
        </w:p>
      </w:tc>
      <w:tc>
        <w:tcPr>
          <w:tcW w:w="16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right"/>
            <w:rPr>
              <w:strike w:val="0"/>
              <w:sz w:val="20"/>
              <w:szCs w:val="20"/>
              <w:u w:val="none"/>
              <w:vertAlign w:val="baseline"/>
            </w:rPr>
          </w:pPr>
          <w:r>
            <w:rPr>
              <w:strike w:val="0"/>
              <w:sz w:val="20"/>
              <w:szCs w:val="20"/>
              <w:u w:val="none"/>
              <w:vertAlign w:val="baseline"/>
            </w:rPr>
            <w:t xml:space="preserve">Страница </w:t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begin"/>
          </w:r>
          <w:r>
            <w:rPr>
              <w:strike w:val="0"/>
              <w:sz w:val="20"/>
              <w:szCs w:val="20"/>
              <w:u w:val="none"/>
              <w:vertAlign w:val="baseline"/>
            </w:rPr>
            <w:instrText>\PAGE</w:instrText>
          </w:r>
          <w:r>
            <w:fldChar w:fldCharType="separate"/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end"/>
          </w:r>
          <w:r>
            <w:rPr>
              <w:strike w:val="0"/>
              <w:sz w:val="20"/>
              <w:szCs w:val="20"/>
              <w:u w:val="none"/>
              <w:vertAlign w:val="baseline"/>
            </w:rPr>
            <w:t xml:space="preserve"> из </w:t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begin"/>
          </w:r>
          <w:r>
            <w:rPr>
              <w:strike w:val="0"/>
              <w:sz w:val="20"/>
              <w:szCs w:val="20"/>
              <w:u w:val="none"/>
              <w:vertAlign w:val="baseline"/>
            </w:rPr>
            <w:instrText>\NUMPAGES</w:instrText>
          </w:r>
          <w:r>
            <w:fldChar w:fldCharType="separate"/>
          </w:r>
          <w:r>
            <w:rPr>
              <w:strike w:val="0"/>
              <w:sz w:val="20"/>
              <w:szCs w:val="20"/>
              <w:u w:val="none"/>
              <w:vertAlign w:val="baseline"/>
            </w:rPr>
            <w:fldChar w:fldCharType="end"/>
          </w:r>
        </w:p>
      </w:tc>
    </w:tr>
  </w:tbl>
  <w:p>
    <w:pPr>
      <w:pStyle w:val="ConsPlusNormal"/>
      <w:rPr>
        <w:b w:val="0"/>
        <w:bCs w:val="0"/>
        <w:i w:val="0"/>
        <w:iCs w:val="0"/>
        <w:strike w:val="0"/>
        <w:sz w:val="2"/>
        <w:szCs w:val="2"/>
        <w:u w:val="none"/>
        <w:vertAlign w:val="baseline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40" w:type="dxa"/>
      <w:tblCellMar>
        <w:top w:w="0" w:type="dxa"/>
        <w:left w:w="40" w:type="dxa"/>
        <w:bottom w:w="0" w:type="dxa"/>
        <w:right w:w="40" w:type="dxa"/>
      </w:tblCellMar>
    </w:tblPr>
    <w:tblGrid>
      <w:gridCol w:w="5613"/>
      <w:gridCol w:w="511"/>
      <w:gridCol w:w="4083"/>
    </w:tblGrid>
    <w:tr>
      <w:tblPrEx>
        <w:tblInd w:w="40" w:type="dxa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2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left"/>
            <w:rPr>
              <w:strike w:val="0"/>
              <w:sz w:val="16"/>
              <w:szCs w:val="16"/>
              <w:u w:val="none"/>
              <w:vertAlign w:val="baseline"/>
            </w:rPr>
          </w:pPr>
          <w:r>
            <w:rPr>
              <w:strike w:val="0"/>
              <w:sz w:val="16"/>
              <w:szCs w:val="16"/>
              <w:u w:val="none"/>
              <w:vertAlign w:val="baseline"/>
            </w:rPr>
            <w:t>&lt;Информация&gt; ФНС России</w:t>
          </w:r>
          <w:r>
            <w:rPr>
              <w:strike w:val="0"/>
              <w:sz w:val="16"/>
              <w:szCs w:val="16"/>
              <w:u w:val="none"/>
              <w:vertAlign w:val="baseline"/>
            </w:rPr>
            <w:br/>
          </w:r>
          <w:r>
            <w:rPr>
              <w:strike w:val="0"/>
              <w:sz w:val="16"/>
              <w:szCs w:val="16"/>
              <w:u w:val="none"/>
              <w:vertAlign w:val="baseline"/>
            </w:rPr>
            <w:t>"С 1 июля квалифицированную электронную подпись для ЮЛ/ИП можно получить в ФНС России"</w:t>
          </w:r>
        </w:p>
      </w:tc>
      <w:tc>
        <w:tcPr>
          <w:tcW w:w="2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center"/>
            <w:rPr>
              <w:b w:val="0"/>
              <w:bCs w:val="0"/>
              <w:i w:val="0"/>
              <w:iCs w:val="0"/>
              <w:strike w:val="0"/>
              <w:u w:val="none"/>
              <w:vertAlign w:val="baseline"/>
            </w:rPr>
          </w:pPr>
        </w:p>
        <w:p>
          <w:pPr>
            <w:pStyle w:val="ConsPlusNormal"/>
            <w:jc w:val="center"/>
            <w:rPr>
              <w:b w:val="0"/>
              <w:bCs w:val="0"/>
              <w:i w:val="0"/>
              <w:iCs w:val="0"/>
              <w:strike w:val="0"/>
              <w:u w:val="none"/>
              <w:vertAlign w:val="baseline"/>
            </w:rPr>
          </w:pPr>
        </w:p>
      </w:tc>
      <w:tc>
        <w:tcPr>
          <w:tcW w:w="2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right"/>
            <w:rPr>
              <w:strike w:val="0"/>
              <w:sz w:val="16"/>
              <w:szCs w:val="16"/>
              <w:u w:val="none"/>
              <w:vertAlign w:val="baseline"/>
            </w:rPr>
          </w:pPr>
          <w:r>
            <w:rPr>
              <w:strike w:val="0"/>
              <w:sz w:val="18"/>
              <w:szCs w:val="18"/>
              <w:u w:val="none"/>
              <w:vertAlign w:val="baseline"/>
            </w:rPr>
            <w:t xml:space="preserve">Документ предоставлен </w:t>
          </w:r>
          <w:hyperlink r:id="rId1" w:history="1">
            <w:r>
              <w:rPr>
                <w:strike w:val="0"/>
                <w:color w:val="0000FF"/>
                <w:sz w:val="18"/>
                <w:szCs w:val="18"/>
                <w:u w:val="none"/>
                <w:vertAlign w:val="baseline"/>
              </w:rPr>
              <w:t>КонсультантПлюс</w:t>
            </w:r>
          </w:hyperlink>
          <w:r>
            <w:rPr>
              <w:strike w:val="0"/>
              <w:sz w:val="18"/>
              <w:szCs w:val="18"/>
              <w:u w:val="none"/>
              <w:vertAlign w:val="baseline"/>
            </w:rPr>
            <w:br/>
          </w:r>
          <w:r>
            <w:rPr>
              <w:strike w:val="0"/>
              <w:sz w:val="16"/>
              <w:szCs w:val="16"/>
              <w:u w:val="none"/>
              <w:vertAlign w:val="baseline"/>
            </w:rPr>
            <w:t>Дата сохранения: 02.08.2021</w:t>
          </w:r>
        </w:p>
      </w:tc>
    </w:tr>
  </w:tbl>
  <w:p>
    <w:pPr>
      <w:pStyle w:val="ConsPlusNormal"/>
      <w:pBdr>
        <w:bottom w:val="single" w:sz="12" w:space="0" w:color="auto"/>
      </w:pBdr>
      <w:jc w:val="center"/>
      <w:rPr>
        <w:b w:val="0"/>
        <w:bCs w:val="0"/>
        <w:i w:val="0"/>
        <w:iCs w:val="0"/>
        <w:strike w:val="0"/>
        <w:sz w:val="2"/>
        <w:szCs w:val="2"/>
        <w:u w:val="none"/>
        <w:vertAlign w:val="baseli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40" w:type="dxa"/>
      <w:tblCellMar>
        <w:top w:w="0" w:type="dxa"/>
        <w:left w:w="40" w:type="dxa"/>
        <w:bottom w:w="0" w:type="dxa"/>
        <w:right w:w="40" w:type="dxa"/>
      </w:tblCellMar>
    </w:tblPr>
    <w:tblGrid>
      <w:gridCol w:w="5613"/>
      <w:gridCol w:w="511"/>
      <w:gridCol w:w="4083"/>
    </w:tblGrid>
    <w:tr>
      <w:tblPrEx>
        <w:tblInd w:w="40" w:type="dxa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2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left"/>
            <w:rPr>
              <w:b w:val="0"/>
              <w:bCs w:val="0"/>
              <w:i w:val="0"/>
              <w:iCs w:val="0"/>
              <w:strike w:val="0"/>
              <w:u w:val="none"/>
              <w:vertAlign w:val="baseline"/>
            </w:rPr>
          </w:pPr>
          <w:r>
            <w:rPr>
              <w:b w:val="0"/>
              <w:bCs w:val="0"/>
              <w:i w:val="0"/>
              <w:iCs w:val="0"/>
              <w:strike w:val="0"/>
              <w:sz w:val="10"/>
              <w:szCs w:val="10"/>
              <w:u w:val="none"/>
              <w:vertAlign w:val="baseline"/>
            </w:rPr>
            <w:t xml:space="preserve"> </w:t>
          </w:r>
          <w:r>
            <w:rPr>
              <w:b w:val="0"/>
              <w:bCs w:val="0"/>
              <w:i w:val="0"/>
              <w:iCs w:val="0"/>
              <w:strike w:val="0"/>
              <w:u w:val="none"/>
              <w:vertAlign w:val="baselin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150pt;height:35.25pt" o:allowincell="f">
                <v:imagedata r:id="rId1" o:title=""/>
              </v:shape>
            </w:pict>
          </w:r>
        </w:p>
        <w:p>
          <w:pPr>
            <w:pStyle w:val="ConsPlusNormal"/>
            <w:jc w:val="left"/>
            <w:rPr>
              <w:strike w:val="0"/>
              <w:sz w:val="16"/>
              <w:szCs w:val="16"/>
              <w:u w:val="none"/>
              <w:vertAlign w:val="baseline"/>
            </w:rPr>
          </w:pPr>
          <w:r>
            <w:rPr>
              <w:strike w:val="0"/>
              <w:sz w:val="16"/>
              <w:szCs w:val="16"/>
              <w:u w:val="none"/>
              <w:vertAlign w:val="baseline"/>
            </w:rPr>
            <w:t>&lt;Информация&gt; ФНС России</w:t>
          </w:r>
          <w:r>
            <w:rPr>
              <w:strike w:val="0"/>
              <w:sz w:val="16"/>
              <w:szCs w:val="16"/>
              <w:u w:val="none"/>
              <w:vertAlign w:val="baseline"/>
            </w:rPr>
            <w:br/>
          </w:r>
          <w:r>
            <w:rPr>
              <w:strike w:val="0"/>
              <w:sz w:val="16"/>
              <w:szCs w:val="16"/>
              <w:u w:val="none"/>
              <w:vertAlign w:val="baseline"/>
            </w:rPr>
            <w:t>"С 1 июля квалифицированную электронную подпись для ЮЛ/ИП можно получить в ФНС России"</w:t>
          </w:r>
        </w:p>
      </w:tc>
      <w:tc>
        <w:tcPr>
          <w:tcW w:w="2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center"/>
            <w:rPr>
              <w:b w:val="0"/>
              <w:bCs w:val="0"/>
              <w:i w:val="0"/>
              <w:iCs w:val="0"/>
              <w:strike w:val="0"/>
              <w:u w:val="none"/>
              <w:vertAlign w:val="baseline"/>
            </w:rPr>
          </w:pPr>
        </w:p>
        <w:p>
          <w:pPr>
            <w:pStyle w:val="ConsPlusNormal"/>
            <w:jc w:val="center"/>
            <w:rPr>
              <w:b w:val="0"/>
              <w:bCs w:val="0"/>
              <w:i w:val="0"/>
              <w:iCs w:val="0"/>
              <w:strike w:val="0"/>
              <w:u w:val="none"/>
              <w:vertAlign w:val="baseline"/>
            </w:rPr>
          </w:pPr>
        </w:p>
      </w:tc>
      <w:tc>
        <w:tcPr>
          <w:tcW w:w="2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>
          <w:pPr>
            <w:pStyle w:val="ConsPlusNormal"/>
            <w:jc w:val="right"/>
            <w:rPr>
              <w:strike w:val="0"/>
              <w:sz w:val="16"/>
              <w:szCs w:val="16"/>
              <w:u w:val="none"/>
              <w:vertAlign w:val="baseline"/>
            </w:rPr>
          </w:pPr>
          <w:r>
            <w:rPr>
              <w:strike w:val="0"/>
              <w:sz w:val="18"/>
              <w:szCs w:val="18"/>
              <w:u w:val="none"/>
              <w:vertAlign w:val="baseline"/>
            </w:rPr>
            <w:t xml:space="preserve">Документ предоставлен </w:t>
          </w:r>
          <w:hyperlink r:id="rId2" w:history="1">
            <w:r>
              <w:rPr>
                <w:strike w:val="0"/>
                <w:color w:val="0000FF"/>
                <w:sz w:val="18"/>
                <w:szCs w:val="18"/>
                <w:u w:val="none"/>
                <w:vertAlign w:val="baseline"/>
              </w:rPr>
              <w:t>КонсультантПлюс</w:t>
            </w:r>
          </w:hyperlink>
          <w:r>
            <w:rPr>
              <w:strike w:val="0"/>
              <w:sz w:val="18"/>
              <w:szCs w:val="18"/>
              <w:u w:val="none"/>
              <w:vertAlign w:val="baseline"/>
            </w:rPr>
            <w:br/>
          </w:r>
          <w:r>
            <w:rPr>
              <w:strike w:val="0"/>
              <w:sz w:val="16"/>
              <w:szCs w:val="16"/>
              <w:u w:val="none"/>
              <w:vertAlign w:val="baseline"/>
            </w:rPr>
            <w:t>Дата сохранения: 02.08.2021</w:t>
          </w:r>
        </w:p>
      </w:tc>
    </w:tr>
  </w:tbl>
  <w:p>
    <w:pPr>
      <w:pStyle w:val="ConsPlusNormal"/>
      <w:pBdr>
        <w:bottom w:val="single" w:sz="12" w:space="0" w:color="auto"/>
      </w:pBdr>
      <w:jc w:val="center"/>
      <w:rPr>
        <w:b w:val="0"/>
        <w:bCs w:val="0"/>
        <w:i w:val="0"/>
        <w:iCs w:val="0"/>
        <w:strike w:val="0"/>
        <w:sz w:val="2"/>
        <w:szCs w:val="2"/>
        <w:u w:val="none"/>
        <w:vertAlign w:val="baselin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view w:val="normal"/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bCs w:val="0"/>
      <w:i w:val="0"/>
      <w:iCs w:val="0"/>
      <w:strike w:val="0"/>
      <w:sz w:val="24"/>
      <w:szCs w:val="24"/>
      <w:u w:val="none"/>
      <w:vertAlign w:val="baseli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i w:val="0"/>
      <w:iCs w:val="0"/>
      <w:strike w:val="0"/>
      <w:sz w:val="20"/>
      <w:szCs w:val="20"/>
      <w:u w:val="none"/>
      <w:vertAlign w:val="baseli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iCs w:val="0"/>
      <w:strike w:val="0"/>
      <w:sz w:val="24"/>
      <w:szCs w:val="24"/>
      <w:u w:val="none"/>
      <w:vertAlign w:val="baseline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i w:val="0"/>
      <w:iCs w:val="0"/>
      <w:strike w:val="0"/>
      <w:sz w:val="20"/>
      <w:szCs w:val="20"/>
      <w:u w:val="none"/>
      <w:vertAlign w:val="baseline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b w:val="0"/>
      <w:bCs w:val="0"/>
      <w:i w:val="0"/>
      <w:iCs w:val="0"/>
      <w:strike w:val="0"/>
      <w:sz w:val="18"/>
      <w:szCs w:val="18"/>
      <w:u w:val="none"/>
      <w:vertAlign w:val="baseline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b w:val="0"/>
      <w:bCs w:val="0"/>
      <w:i w:val="0"/>
      <w:iCs w:val="0"/>
      <w:strike w:val="0"/>
      <w:sz w:val="24"/>
      <w:szCs w:val="24"/>
      <w:u w:val="none"/>
      <w:vertAlign w:val="baseline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bCs w:val="0"/>
      <w:i w:val="0"/>
      <w:iCs w:val="0"/>
      <w:strike w:val="0"/>
      <w:sz w:val="24"/>
      <w:szCs w:val="24"/>
      <w:u w:val="none"/>
      <w:vertAlign w:val="baseline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bCs w:val="0"/>
      <w:i w:val="0"/>
      <w:iCs w:val="0"/>
      <w:strike w:val="0"/>
      <w:sz w:val="24"/>
      <w:szCs w:val="24"/>
      <w:u w:val="none"/>
      <w:vertAlign w:val="baseline"/>
    </w:rPr>
  </w:style>
  <w:style w:type="paragraph" w:customStyle="1" w:styleId="ConsPlusTextList0">
    <w:name w:val="ConsPlusTextList_0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bCs w:val="0"/>
      <w:i w:val="0"/>
      <w:iCs w:val="0"/>
      <w:strike w:val="0"/>
      <w:sz w:val="24"/>
      <w:szCs w:val="24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consultant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2</DocSecurity>
  <Lines>0</Lines>
  <Paragraphs>0</Paragraphs>
  <ScaleCrop>false</ScaleCrop>
  <Company>КонсультантПлюс Версия 4018.00.50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ФНС России"С 1 июля квалифицированную электронную подпись для ЮЛ/ИП можно получить в ФНС России"</dc:title>
  <cp:revision>0</cp:revision>
  <dcterms:created xsi:type="dcterms:W3CDTF">2021-08-02T14:56:00Z</dcterms:created>
</cp:coreProperties>
</file>